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98" w:rsidRDefault="002C3598" w:rsidP="002C3598">
      <w:pPr>
        <w:pStyle w:val="Nadpis1"/>
        <w:rPr>
          <w:rStyle w:val="Zvraznenie"/>
          <w:i w:val="0"/>
          <w:iCs/>
        </w:rPr>
      </w:pPr>
      <w:r>
        <w:rPr>
          <w:rStyle w:val="Zvraznenie"/>
          <w:i w:val="0"/>
          <w:iCs/>
        </w:rPr>
        <w:t>Zmeny</w:t>
      </w:r>
    </w:p>
    <w:p w:rsidR="002C3598" w:rsidRDefault="002C3598" w:rsidP="002C3598">
      <w:pPr>
        <w:rPr>
          <w:rStyle w:val="Zvraznenie"/>
        </w:rPr>
      </w:pPr>
      <w:r w:rsidRPr="00334913">
        <w:rPr>
          <w:rStyle w:val="Siln"/>
        </w:rPr>
        <w:t>STN EN ISO 18119/A1</w:t>
      </w:r>
      <w:r w:rsidRPr="00334913">
        <w:rPr>
          <w:rStyle w:val="Zvraznenie"/>
        </w:rPr>
        <w:t xml:space="preserve"> (07 8629)</w:t>
      </w:r>
    </w:p>
    <w:p w:rsidR="002C3598" w:rsidRDefault="002C3598" w:rsidP="002C3598">
      <w:pPr>
        <w:pStyle w:val="Normlntun"/>
        <w:rPr>
          <w:rStyle w:val="Zvraznenie"/>
          <w:i w:val="0"/>
          <w:iCs/>
        </w:rPr>
      </w:pPr>
      <w:r>
        <w:rPr>
          <w:rStyle w:val="Zvraznenie"/>
          <w:i w:val="0"/>
          <w:iCs/>
        </w:rPr>
        <w:t>Fľaše na plyny. Bezšvové fľaše a rúry na plyny z ocele a zo zliatiny hliníka. Periodická kontrola a skúšanie (ISO 18119: 2018). Zmena A1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31.05.2021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ISO 18119:2018/A1: 2021, idt. ISO 18119:2018/Amd 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This document specifies the requirements for periodic inspection and testing to verify the integrity of cylinders and tubes to be re-introduced into service for a further period of time. This document is applicable to seamless steel and seamless aluminium-alloy transportable gas cylinders (single or those that comprise a bundle) intended for compressed and liquefied gases under pressure, of water capacity from 0,5 l up to 150 l and to seamless steel and seamless aluminium-alloy transportable gas tubes (single or those that comprise a bundle) intended for compressed and liquefied gases under pressure, of water capacity greater than 150 l. It also applies, as far as practical, to cylinders of less than 0,5 l water capacity. This document does not apply to the periodic inspection and maintenance of acetylene cylinders or to the periodic inspection and testing of composite cylinders. NOTE Unless noted by exception, the use of the word "cylinder" in this document refers to both cylinders and tubes.</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334913">
        <w:rPr>
          <w:rStyle w:val="Siln"/>
        </w:rPr>
        <w:t>STN EN 13480-3/A1</w:t>
      </w:r>
      <w:r w:rsidRPr="00334913">
        <w:rPr>
          <w:rStyle w:val="Zvraznenie"/>
        </w:rPr>
        <w:t xml:space="preserve"> (13 3410)</w:t>
      </w:r>
    </w:p>
    <w:p w:rsidR="002C3598" w:rsidRDefault="002C3598" w:rsidP="002C3598">
      <w:pPr>
        <w:pStyle w:val="Normlntun"/>
        <w:rPr>
          <w:rStyle w:val="Zvraznenie"/>
          <w:i w:val="0"/>
          <w:iCs/>
        </w:rPr>
      </w:pPr>
      <w:r>
        <w:rPr>
          <w:rStyle w:val="Zvraznenie"/>
          <w:i w:val="0"/>
          <w:iCs/>
        </w:rPr>
        <w:t>Kovové priemyselné potrubia. Časť 3: Navrhovanie a výpočet. Zmena A1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24.03.2021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13480-3:2017/A1: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Pr="00334913" w:rsidRDefault="002C3598" w:rsidP="002C3598">
      <w:pPr>
        <w:rPr>
          <w:rStyle w:val="Obyejn"/>
        </w:rPr>
      </w:pPr>
      <w:r w:rsidRPr="00334913">
        <w:rPr>
          <w:rStyle w:val="Siln"/>
        </w:rPr>
        <w:t>Právne predpisy:</w:t>
      </w:r>
      <w:r w:rsidRPr="00334913">
        <w:rPr>
          <w:rStyle w:val="Obyejn"/>
        </w:rPr>
        <w:t xml:space="preserve"> ^ASmernica Európskeho parlamentu a Rady 2014/68/EÚ z 15. mája 2014 (OJ L 189 z 27. 6. 2014)^Bo harmonizácii právnych predpisov členských štátov týkajúcich sa sprístupňovania tlakových zariadení na trhu;~^Anariadenie vlády SR č. 1/2016 Z. z.^Bo sprístupňovaní tlakových zariadení na trhu.</w:t>
      </w:r>
    </w:p>
    <w:p w:rsidR="002C3598" w:rsidRPr="00334913" w:rsidRDefault="002C3598" w:rsidP="002C3598">
      <w:pPr>
        <w:rPr>
          <w:rStyle w:val="Obyejn"/>
        </w:rPr>
      </w:pPr>
    </w:p>
    <w:p w:rsidR="002C3598" w:rsidRDefault="002C3598" w:rsidP="002C3598">
      <w:pPr>
        <w:rPr>
          <w:rStyle w:val="Zvraznenie"/>
          <w:i w:val="0"/>
          <w:iCs/>
        </w:rPr>
      </w:pPr>
    </w:p>
    <w:p w:rsidR="002C3598" w:rsidRDefault="002C3598" w:rsidP="002C3598">
      <w:pPr>
        <w:rPr>
          <w:rStyle w:val="Obyejn"/>
        </w:rPr>
      </w:pPr>
      <w:r w:rsidRPr="00334913">
        <w:rPr>
          <w:rStyle w:val="Siln"/>
        </w:rPr>
        <w:t>Predmet normy:</w:t>
      </w:r>
      <w:r w:rsidRPr="00334913">
        <w:rPr>
          <w:rStyle w:val="Obyejn"/>
        </w:rPr>
        <w:t xml:space="preserve"> Tato časť európskej normy špecifikuje požiadavky na navrhovanie a výpočet priemyselných kovových potrubných sietí, ktoré patria do predmetu normy EN 13480.</w:t>
      </w:r>
    </w:p>
    <w:p w:rsidR="002C3598" w:rsidRDefault="002C3598" w:rsidP="002C3598">
      <w:pPr>
        <w:pStyle w:val="Normlnkurzva"/>
        <w:rPr>
          <w:rStyle w:val="Zvraznenie"/>
          <w:i/>
          <w:iCs/>
        </w:rPr>
      </w:pPr>
      <w:r>
        <w:rPr>
          <w:rStyle w:val="Zvraznenie"/>
          <w:i/>
          <w:iCs/>
        </w:rPr>
        <w:t>Cenová skupina: 4</w:t>
      </w:r>
      <w:r>
        <w:rPr>
          <w:rStyle w:val="Zvraznenie"/>
          <w:i/>
          <w:iCs/>
        </w:rPr>
        <w:tab/>
        <w:t>Počet strán: 20</w:t>
      </w:r>
    </w:p>
    <w:p w:rsidR="002C3598" w:rsidRDefault="002C3598" w:rsidP="002C3598">
      <w:pPr>
        <w:rPr>
          <w:rStyle w:val="Zvraznenie"/>
          <w:i w:val="0"/>
          <w:iCs/>
        </w:rPr>
      </w:pPr>
    </w:p>
    <w:p w:rsidR="002C3598" w:rsidRDefault="002C3598" w:rsidP="002C3598">
      <w:pPr>
        <w:rPr>
          <w:rStyle w:val="Zvraznenie"/>
        </w:rPr>
      </w:pPr>
      <w:r w:rsidRPr="00334913">
        <w:rPr>
          <w:rStyle w:val="Siln"/>
        </w:rPr>
        <w:t>STN EN IEC 61000-3-2/A1</w:t>
      </w:r>
      <w:r w:rsidRPr="00334913">
        <w:rPr>
          <w:rStyle w:val="Zvraznenie"/>
        </w:rPr>
        <w:t xml:space="preserve"> (33 3432)</w:t>
      </w:r>
    </w:p>
    <w:p w:rsidR="002C3598" w:rsidRDefault="002C3598" w:rsidP="002C3598">
      <w:pPr>
        <w:pStyle w:val="Normlntun"/>
        <w:rPr>
          <w:rStyle w:val="Zvraznenie"/>
          <w:i w:val="0"/>
          <w:iCs/>
        </w:rPr>
      </w:pPr>
      <w:r>
        <w:rPr>
          <w:rStyle w:val="Zvraznenie"/>
          <w:i w:val="0"/>
          <w:iCs/>
        </w:rPr>
        <w:t>Elektromagnetická kompatibilita (EMC). Časť 3-2: Medze. Medze vyžarovania harmonických zložiek prúdu (zariadenia so vstupným fázovým prúdom &lt;= 16 A). Zmena A1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lastRenderedPageBreak/>
        <w:t>Dátum schválenia:</w:t>
      </w:r>
      <w:r w:rsidRPr="00334913">
        <w:rPr>
          <w:rStyle w:val="Obyejn"/>
        </w:rPr>
        <w:t xml:space="preserve"> 07.05.2021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61000-3-2: 2019/A1: 2021, idt. IEC 61000-3-2: 2018/Amd 1: 2020</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IEC 61000-3-2:2018 deals with the limitation of harmonic currents injected into the public supply system. It specifies limits of harmonic components of the input current which can be produced by equipment tested under specified conditions. It is applicable to electrical and electronic equipment having a rated input current up to and including 16 A per phase, and intended to be connected to public low-voltage distribution systems. Arc welding equipment which is not professional equipment, with a rated input current up to and including 16 A per phase, is included in this document. Arc welding equipment intended for professional use, as specified in IEC 60974-1, is excluded from this document and can be subject to installation restrictions as indicated in IEC 61000-3-12. The tests according to this document are type tests. For systems with nominal voltages less than but not equal to 220 V (line-to-neutral), the limits have not yet been considered.</w:t>
      </w:r>
    </w:p>
    <w:p w:rsidR="002C3598" w:rsidRDefault="002C3598" w:rsidP="002C3598">
      <w:pPr>
        <w:pStyle w:val="Normlnkurzva"/>
        <w:rPr>
          <w:rStyle w:val="Zvraznenie"/>
          <w:i/>
          <w:iCs/>
        </w:rPr>
      </w:pPr>
      <w:r>
        <w:rPr>
          <w:rStyle w:val="Zvraznenie"/>
          <w:i/>
          <w:iCs/>
        </w:rPr>
        <w:t>Cenová skupina: 4</w:t>
      </w:r>
      <w:r>
        <w:rPr>
          <w:rStyle w:val="Zvraznenie"/>
          <w:i/>
          <w:iCs/>
        </w:rPr>
        <w:tab/>
        <w:t>Počet strán: 28</w:t>
      </w:r>
    </w:p>
    <w:p w:rsidR="002C3598" w:rsidRDefault="002C3598" w:rsidP="002C3598">
      <w:pPr>
        <w:rPr>
          <w:rStyle w:val="Zvraznenie"/>
          <w:i w:val="0"/>
          <w:iCs/>
        </w:rPr>
      </w:pPr>
    </w:p>
    <w:p w:rsidR="002C3598" w:rsidRDefault="002C3598" w:rsidP="002C3598">
      <w:pPr>
        <w:rPr>
          <w:rStyle w:val="Zvraznenie"/>
        </w:rPr>
      </w:pPr>
      <w:r w:rsidRPr="00334913">
        <w:rPr>
          <w:rStyle w:val="Siln"/>
        </w:rPr>
        <w:t>STN EN 61000-4-30/A1</w:t>
      </w:r>
      <w:r w:rsidRPr="00334913">
        <w:rPr>
          <w:rStyle w:val="Zvraznenie"/>
        </w:rPr>
        <w:t xml:space="preserve"> (33 3432)</w:t>
      </w:r>
    </w:p>
    <w:p w:rsidR="002C3598" w:rsidRDefault="002C3598" w:rsidP="002C3598">
      <w:pPr>
        <w:pStyle w:val="Normlntun"/>
        <w:rPr>
          <w:rStyle w:val="Zvraznenie"/>
          <w:i w:val="0"/>
          <w:iCs/>
        </w:rPr>
      </w:pPr>
      <w:r>
        <w:rPr>
          <w:rStyle w:val="Zvraznenie"/>
          <w:i w:val="0"/>
          <w:iCs/>
        </w:rPr>
        <w:t>Elektromagnetická kompatibilita (EMC). Časť 4-30: Metódy skúšania a merania. Metódy merania kvality napájania. Zmena A1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07.05.2021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61000-4-30: 2015/A1: 2021, idt. IEC 61000-4-30: 2015/Amd 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334913">
        <w:rPr>
          <w:rStyle w:val="Siln"/>
        </w:rPr>
        <w:t>STN EN 55011/A2</w:t>
      </w:r>
      <w:r w:rsidRPr="00334913">
        <w:rPr>
          <w:rStyle w:val="Zvraznenie"/>
        </w:rPr>
        <w:t xml:space="preserve"> (33 4211)</w:t>
      </w:r>
    </w:p>
    <w:p w:rsidR="002C3598" w:rsidRDefault="002C3598" w:rsidP="002C3598">
      <w:pPr>
        <w:pStyle w:val="Normlntun"/>
        <w:rPr>
          <w:rStyle w:val="Zvraznenie"/>
          <w:i w:val="0"/>
          <w:iCs/>
        </w:rPr>
      </w:pPr>
      <w:r>
        <w:rPr>
          <w:rStyle w:val="Zvraznenie"/>
          <w:i w:val="0"/>
          <w:iCs/>
        </w:rPr>
        <w:t>Priemyselné, vedecké a zdravotnícke zariadenia. Charakteristiky vysokofrekvenčného rušenia. Medze a metódy merania. Zmena A2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07.05.2021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CISPR 11:2015/AMD2: 2019, idt. EN 55011: 2016/A2: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w:t>
      </w:r>
    </w:p>
    <w:p w:rsidR="002C3598" w:rsidRDefault="002C3598" w:rsidP="002C3598">
      <w:pPr>
        <w:pStyle w:val="Normlnkurzva"/>
        <w:rPr>
          <w:rStyle w:val="Zvraznenie"/>
          <w:i/>
          <w:iCs/>
        </w:rPr>
      </w:pPr>
      <w:r>
        <w:rPr>
          <w:rStyle w:val="Zvraznenie"/>
          <w:i/>
          <w:iCs/>
        </w:rPr>
        <w:t>Cenová skupina: 4</w:t>
      </w:r>
      <w:r>
        <w:rPr>
          <w:rStyle w:val="Zvraznenie"/>
          <w:i/>
          <w:iCs/>
        </w:rPr>
        <w:tab/>
        <w:t>Počet strán: 20</w:t>
      </w:r>
    </w:p>
    <w:p w:rsidR="002C3598" w:rsidRDefault="002C3598" w:rsidP="002C3598">
      <w:pPr>
        <w:rPr>
          <w:rStyle w:val="Zvraznenie"/>
          <w:i w:val="0"/>
          <w:iCs/>
        </w:rPr>
      </w:pPr>
    </w:p>
    <w:p w:rsidR="002C3598" w:rsidRDefault="002C3598" w:rsidP="002C3598">
      <w:pPr>
        <w:rPr>
          <w:rStyle w:val="Zvraznenie"/>
        </w:rPr>
      </w:pPr>
      <w:r w:rsidRPr="00334913">
        <w:rPr>
          <w:rStyle w:val="Siln"/>
        </w:rPr>
        <w:t>STN EN 60838-1/A2</w:t>
      </w:r>
      <w:r w:rsidRPr="00334913">
        <w:rPr>
          <w:rStyle w:val="Zvraznenie"/>
        </w:rPr>
        <w:t xml:space="preserve"> (36 0385)</w:t>
      </w:r>
    </w:p>
    <w:p w:rsidR="002C3598" w:rsidRDefault="002C3598" w:rsidP="002C3598">
      <w:pPr>
        <w:pStyle w:val="Normlntun"/>
        <w:rPr>
          <w:rStyle w:val="Zvraznenie"/>
          <w:i w:val="0"/>
          <w:iCs/>
        </w:rPr>
      </w:pPr>
      <w:r>
        <w:rPr>
          <w:rStyle w:val="Zvraznenie"/>
          <w:i w:val="0"/>
          <w:iCs/>
        </w:rPr>
        <w:t>Rozličné objímky na svetelné zdroje. Časť 1: Všeobecné požiadavky a skúšky. Zmena A2 ****)</w:t>
      </w:r>
    </w:p>
    <w:p w:rsidR="002C3598" w:rsidRDefault="002C3598" w:rsidP="002C3598">
      <w:pPr>
        <w:rPr>
          <w:rStyle w:val="Obyejn"/>
        </w:rPr>
      </w:pPr>
      <w:r w:rsidRPr="00334913">
        <w:rPr>
          <w:rStyle w:val="Siln"/>
        </w:rPr>
        <w:lastRenderedPageBreak/>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04.06.2021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60838-1:2017/A2: 2021, idt. IEC 60838-1:2016/Amd 2: 2020</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w:t>
      </w:r>
    </w:p>
    <w:p w:rsidR="002C3598" w:rsidRDefault="002C3598" w:rsidP="002C3598">
      <w:pPr>
        <w:pStyle w:val="Normlnkurzva"/>
        <w:rPr>
          <w:rStyle w:val="Zvraznenie"/>
          <w:i/>
          <w:iCs/>
        </w:rPr>
      </w:pPr>
      <w:r>
        <w:rPr>
          <w:rStyle w:val="Zvraznenie"/>
          <w:i/>
          <w:iCs/>
        </w:rPr>
        <w:t>Cenová skupina: 4</w:t>
      </w:r>
      <w:r>
        <w:rPr>
          <w:rStyle w:val="Zvraznenie"/>
          <w:i/>
          <w:iCs/>
        </w:rPr>
        <w:tab/>
        <w:t>Počet strán: 20</w:t>
      </w:r>
    </w:p>
    <w:p w:rsidR="002C3598" w:rsidRDefault="002C3598" w:rsidP="002C3598">
      <w:pPr>
        <w:rPr>
          <w:rStyle w:val="Zvraznenie"/>
          <w:i w:val="0"/>
          <w:iCs/>
        </w:rPr>
      </w:pPr>
    </w:p>
    <w:p w:rsidR="002C3598" w:rsidRDefault="002C3598" w:rsidP="002C3598">
      <w:pPr>
        <w:rPr>
          <w:rStyle w:val="Zvraznenie"/>
        </w:rPr>
      </w:pPr>
      <w:r w:rsidRPr="00334913">
        <w:rPr>
          <w:rStyle w:val="Siln"/>
        </w:rPr>
        <w:t>STN EN 60335-2-27/A1</w:t>
      </w:r>
      <w:r w:rsidRPr="00334913">
        <w:rPr>
          <w:rStyle w:val="Zvraznenie"/>
        </w:rPr>
        <w:t xml:space="preserve"> (36 1055)</w:t>
      </w:r>
    </w:p>
    <w:p w:rsidR="002C3598" w:rsidRDefault="002C3598" w:rsidP="002C3598">
      <w:pPr>
        <w:pStyle w:val="Normlntun"/>
        <w:rPr>
          <w:rStyle w:val="Zvraznenie"/>
          <w:i w:val="0"/>
          <w:iCs/>
        </w:rPr>
      </w:pPr>
      <w:r>
        <w:rPr>
          <w:rStyle w:val="Zvraznenie"/>
          <w:i w:val="0"/>
          <w:iCs/>
        </w:rPr>
        <w:t>Elektrické spotrebiče pre domácnosť a na podobné účely. Bezpečnosť. Časť 2-27: Osobitné požiadavky na spotrebiče určené na ožarovanie pokožky ultrafialovým a infračerveným žiarením. Zmena A1</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03.05.2021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60335-2-27:2013/A1: 2020, mod. IEC 60335-2-27:2009/A1: 2012</w:t>
      </w:r>
    </w:p>
    <w:p w:rsidR="002C3598" w:rsidRDefault="002C3598" w:rsidP="002C3598">
      <w:pPr>
        <w:rPr>
          <w:rStyle w:val="Obyejn"/>
        </w:rPr>
      </w:pPr>
      <w:r w:rsidRPr="00334913">
        <w:rPr>
          <w:rStyle w:val="Siln"/>
        </w:rPr>
        <w:t>Spôsob prevzatia:</w:t>
      </w:r>
      <w:r w:rsidRPr="00334913">
        <w:rPr>
          <w:rStyle w:val="Obyejn"/>
        </w:rPr>
        <w:t xml:space="preserve"> Prekladom</w:t>
      </w:r>
      <w:r w:rsidRPr="00334913">
        <w:rPr>
          <w:rStyle w:val="Obyejn"/>
        </w:rPr>
        <w:tab/>
      </w:r>
      <w:r w:rsidRPr="00334913">
        <w:rPr>
          <w:rStyle w:val="Siln"/>
        </w:rPr>
        <w:t>Jazyk:</w:t>
      </w:r>
      <w:r w:rsidRPr="00334913">
        <w:rPr>
          <w:rStyle w:val="Obyejn"/>
        </w:rPr>
        <w:t xml:space="preserve"> sk</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Pr="00334913" w:rsidRDefault="002C3598" w:rsidP="002C3598">
      <w:pPr>
        <w:rPr>
          <w:rStyle w:val="Obyejn"/>
        </w:rPr>
      </w:pPr>
      <w:r w:rsidRPr="00334913">
        <w:rPr>
          <w:rStyle w:val="Siln"/>
        </w:rPr>
        <w:t>Právne predpisy:</w:t>
      </w:r>
      <w:r w:rsidRPr="00334913">
        <w:rPr>
          <w:rStyle w:val="Obyejn"/>
        </w:rPr>
        <w:t xml:space="preserve"> ^ASmernica 2006/95/ES z 12. decembra 2006 (OJ L 374 z 27. 12. 2006)^Bo elektrických zariadeniach navrhovaných na použitie v určitom napäťovom rozmedzí;~^Anariadenie vlády SR č. 308/2004 Z. z.,^Bktorým sa ustanovujú podrobnosti o technických požiadavkách a postupoch posudzovania zhody pre elektrické zariadenia, ktoré sa používajú v určitom rozsahu napätia, v znení neskorších predpisov;~^Asmernica 2006/42/ES zo 17. mája 2006 (OJ L 157 z 9. 6. 2006)</w:t>
      </w:r>
    </w:p>
    <w:p w:rsidR="002C3598" w:rsidRPr="00334913" w:rsidRDefault="002C3598" w:rsidP="002C3598">
      <w:pPr>
        <w:rPr>
          <w:rStyle w:val="Obyejn"/>
        </w:rPr>
      </w:pPr>
      <w:r w:rsidRPr="00334913">
        <w:rPr>
          <w:rStyle w:val="Obyejn"/>
        </w:rPr>
        <w:t>^Bo strojoch a pozmeňujúca smernicu 95/16/ES;~^Anariadenie vlády SR č. 436/2008 Z.z.,</w:t>
      </w:r>
    </w:p>
    <w:p w:rsidR="002C3598" w:rsidRPr="00334913" w:rsidRDefault="002C3598" w:rsidP="002C3598">
      <w:pPr>
        <w:rPr>
          <w:rStyle w:val="Obyejn"/>
        </w:rPr>
      </w:pPr>
      <w:r w:rsidRPr="00334913">
        <w:rPr>
          <w:rStyle w:val="Obyejn"/>
        </w:rPr>
        <w:t>^Bktorým sa ustanovujú podrobnosti o technických požiadavkách a postupoch posudzovania zhody na strojové zariadenia~^ASmernica Európskeho parlamentu a Rady 2014/35/EÚ z 26. februára 2014^Bo harmonizácii právnych predpisov členských štátov týkajúcich sa sprístupnenia elektrického zariadenia určeného na používanie v rámci určitých limitov napätia na trhu;~^Anariadenie vlády SR č. 148/2016 Z. z. z 24. februára 2016^Bo sprístupňovaní elektrického zariadenia určeného na používanie v rámci určitých limitov napätia na trhu.</w:t>
      </w:r>
    </w:p>
    <w:p w:rsidR="002C3598" w:rsidRPr="00334913" w:rsidRDefault="002C3598" w:rsidP="002C3598">
      <w:pPr>
        <w:rPr>
          <w:rStyle w:val="Obyejn"/>
        </w:rPr>
      </w:pPr>
    </w:p>
    <w:p w:rsidR="002C3598" w:rsidRDefault="002C3598" w:rsidP="002C3598">
      <w:pPr>
        <w:rPr>
          <w:rStyle w:val="Zvraznenie"/>
          <w:i w:val="0"/>
          <w:iCs/>
        </w:rPr>
      </w:pPr>
    </w:p>
    <w:p w:rsidR="002C3598" w:rsidRDefault="002C3598" w:rsidP="002C3598">
      <w:pPr>
        <w:rPr>
          <w:rStyle w:val="Obyejn"/>
        </w:rPr>
      </w:pPr>
      <w:r w:rsidRPr="00334913">
        <w:rPr>
          <w:rStyle w:val="Siln"/>
        </w:rPr>
        <w:t>Predmet normy:</w:t>
      </w:r>
      <w:r w:rsidRPr="00334913">
        <w:rPr>
          <w:rStyle w:val="Obyejn"/>
        </w:rPr>
        <w:t xml:space="preserve"> Táto kapitola z časti 1 sa nahrádza takto:Táto medzinárodná norma sa vzťahuje na bezpečnosť elektrických spotrebičov obsahujúcich žiariče na ožarovanie kože ultrafialovým alebo infračerveným žiarením, na použitie v domácnosti a na podobné účely, ktorých menovité napätie nepresahuje 250 V pri jednofázových spotrebičoch a 480 V pri ostatných spotrebičoch.Táto norma platí aj pre spotrebiče, ktoré nie sú určené na bežné používanie v domácnosti, ale ktoré môžu byť napriek tomu zdrojom nebezpečenstva pre verejnosť, ako sú napríklad spotrebiče používané v soláriách, kozmetických salónoch alebo v podobných prevádzkach.Táto norma sa zaoberá bežnými nebezpečenstvami spojenými so spotrebičmi, s ktorými prídu do styku všetky osoby používajúce UV spotrebiče v soláriách, v kozmetických salónoch a v podobných prevádzkach alebo v domácnosti. Avšak vo všeobecnosti neberie do úvahy:osoby (vrátane detí),ktorým fyzické,zmyslové alebo duševné schopnosti alebo nedostatok skúseností a vedomostí bráni používať spotrebič bezpečne</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334913">
        <w:rPr>
          <w:rStyle w:val="Siln"/>
        </w:rPr>
        <w:lastRenderedPageBreak/>
        <w:t>STN EN 60335-2-27/A2</w:t>
      </w:r>
      <w:r w:rsidRPr="00334913">
        <w:rPr>
          <w:rStyle w:val="Zvraznenie"/>
        </w:rPr>
        <w:t xml:space="preserve"> (36 1055)</w:t>
      </w:r>
    </w:p>
    <w:p w:rsidR="002C3598" w:rsidRDefault="002C3598" w:rsidP="002C3598">
      <w:pPr>
        <w:pStyle w:val="Normlntun"/>
        <w:rPr>
          <w:rStyle w:val="Zvraznenie"/>
          <w:i w:val="0"/>
          <w:iCs/>
        </w:rPr>
      </w:pPr>
      <w:r>
        <w:rPr>
          <w:rStyle w:val="Zvraznenie"/>
          <w:i w:val="0"/>
          <w:iCs/>
        </w:rPr>
        <w:t>Elektrické spotrebiče pre domácnosť a na podobné účely. Bezpečnosť. Časť 2-27: Osobitné požiadavky na spotrebiče určené na ožarovanie pokožky ultrafialovým a infračerveným žiarením. Zmena A2</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03.05.2021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60335-2-27:2013/A2: 2020, mod. IEC 60335-2-27:2009/AMD2: 2015</w:t>
      </w:r>
    </w:p>
    <w:p w:rsidR="002C3598" w:rsidRDefault="002C3598" w:rsidP="002C3598">
      <w:pPr>
        <w:rPr>
          <w:rStyle w:val="Obyejn"/>
        </w:rPr>
      </w:pPr>
      <w:r w:rsidRPr="00334913">
        <w:rPr>
          <w:rStyle w:val="Siln"/>
        </w:rPr>
        <w:t>Spôsob prevzatia:</w:t>
      </w:r>
      <w:r w:rsidRPr="00334913">
        <w:rPr>
          <w:rStyle w:val="Obyejn"/>
        </w:rPr>
        <w:t xml:space="preserve"> Prekladom</w:t>
      </w:r>
      <w:r w:rsidRPr="00334913">
        <w:rPr>
          <w:rStyle w:val="Obyejn"/>
        </w:rPr>
        <w:tab/>
      </w:r>
      <w:r w:rsidRPr="00334913">
        <w:rPr>
          <w:rStyle w:val="Siln"/>
        </w:rPr>
        <w:t>Jazyk:</w:t>
      </w:r>
      <w:r w:rsidRPr="00334913">
        <w:rPr>
          <w:rStyle w:val="Obyejn"/>
        </w:rPr>
        <w:t xml:space="preserve"> sk</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Pr="00334913" w:rsidRDefault="002C3598" w:rsidP="002C3598">
      <w:pPr>
        <w:rPr>
          <w:rStyle w:val="Obyejn"/>
        </w:rPr>
      </w:pPr>
      <w:r w:rsidRPr="00334913">
        <w:rPr>
          <w:rStyle w:val="Siln"/>
        </w:rPr>
        <w:t>Právne predpisy:</w:t>
      </w:r>
      <w:r w:rsidRPr="00334913">
        <w:rPr>
          <w:rStyle w:val="Obyejn"/>
        </w:rPr>
        <w:t xml:space="preserve"> ^ASmernica 2006/95/ES z 12. decembra 2006 (OJ L 374 z 27. 12. 2006)^Bo elektrických zariadeniach navrhovaných na použitie v určitom napäťovom rozmedzí;~^Anariadenie vlády SR č. 308/2004 Z. z.,^Bktorým sa ustanovujú podrobnosti o technických požiadavkách a postupoch posudzovania zhody pre elektrické zariadenia, ktoré sa používajú v určitom rozsahu napätia, v znení neskorších predpisov;~^Asmernica 2006/42/ES zo 17. mája 2006 (OJ L 157 z 9. 6. 2006)</w:t>
      </w:r>
    </w:p>
    <w:p w:rsidR="002C3598" w:rsidRPr="00334913" w:rsidRDefault="002C3598" w:rsidP="002C3598">
      <w:pPr>
        <w:rPr>
          <w:rStyle w:val="Obyejn"/>
        </w:rPr>
      </w:pPr>
      <w:r w:rsidRPr="00334913">
        <w:rPr>
          <w:rStyle w:val="Obyejn"/>
        </w:rPr>
        <w:t>^Bo strojoch a pozmeňujúca smernicu 95/16/ES;~^Anariadenie vlády SR č. 436/2008 Z.z.,</w:t>
      </w:r>
    </w:p>
    <w:p w:rsidR="002C3598" w:rsidRPr="00334913" w:rsidRDefault="002C3598" w:rsidP="002C3598">
      <w:pPr>
        <w:rPr>
          <w:rStyle w:val="Obyejn"/>
        </w:rPr>
      </w:pPr>
      <w:r w:rsidRPr="00334913">
        <w:rPr>
          <w:rStyle w:val="Obyejn"/>
        </w:rPr>
        <w:t>^Bktorým sa ustanovujú podrobnosti o technických požiadavkách a postupoch posudzovania zhody na strojové zariadenia~^ASmernica Európskeho parlamentu a Rady 2014/35/EÚ z 26. februára 2014^Bo harmonizácii právnych predpisov členských štátov týkajúcich sa sprístupnenia elektrického zariadenia určeného na používanie v rámci určitých limitov napätia na trhu;~^Anariadenie vlády SR č. 148/2016 Z. z. z 24. februára 2016^Bo sprístupňovaní elektrického zariadenia určeného na používanie v rámci určitých limitov napätia na trhu.</w:t>
      </w:r>
    </w:p>
    <w:p w:rsidR="002C3598" w:rsidRPr="00334913" w:rsidRDefault="002C3598" w:rsidP="002C3598">
      <w:pPr>
        <w:rPr>
          <w:rStyle w:val="Obyejn"/>
        </w:rPr>
      </w:pPr>
    </w:p>
    <w:p w:rsidR="002C3598" w:rsidRDefault="002C3598" w:rsidP="002C3598">
      <w:pPr>
        <w:rPr>
          <w:rStyle w:val="Zvraznenie"/>
          <w:i w:val="0"/>
          <w:iCs/>
        </w:rPr>
      </w:pPr>
    </w:p>
    <w:p w:rsidR="002C3598" w:rsidRDefault="002C3598" w:rsidP="002C3598">
      <w:pPr>
        <w:rPr>
          <w:rStyle w:val="Obyejn"/>
        </w:rPr>
      </w:pPr>
      <w:r w:rsidRPr="00334913">
        <w:rPr>
          <w:rStyle w:val="Siln"/>
        </w:rPr>
        <w:t>Predmet normy:</w:t>
      </w:r>
      <w:r w:rsidRPr="00334913">
        <w:rPr>
          <w:rStyle w:val="Obyejn"/>
        </w:rPr>
        <w:t xml:space="preserve"> Táto kapitola z časti 1 sa nahrádza takto:Táto medzinárodná norma sa vzťahuje na bezpečnosť elektrických spotrebičov obsahujúcich žiariče na ožarovanie kože ultrafialovým alebo infračerveným žiarením, na použitie v domácnosti a na podobné účely, ktorých menovité napätie nepresahuje 250 V pri jednofázových spotrebičoch a 480 V pri ostatných spotrebičoch.Táto norma platí aj pre spotrebiče, ktoré nie sú určené na bežné používanie v domácnosti, ale ktoré môžu byť napriek tomu zdrojom nebezpečenstva pre verejnosť, ako sú napríklad spotrebiče používané v soláriách, kozmetických salónoch alebo v podobných prevádzkach.Táto norma sa zaoberá bežnými nebezpečenstvami spojenými so spotrebičmi, s ktorými prídu do styku všetky osoby používajúce UV spotrebiče v soláriách, v kozmetických salónoch a v podobných prevádzkach alebo v domácnosti. Avšak vo všeobecnosti neberie do úvahy:osoby (vrátane detí),ktorým fyzické,zmyslové alebo duševné schopnosti alebo nedostatok skúseností a vedomostí bráni používať spotrebič bezpečne</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334913">
        <w:rPr>
          <w:rStyle w:val="Siln"/>
        </w:rPr>
        <w:t>STN EN 60335-2-105/A2</w:t>
      </w:r>
      <w:r w:rsidRPr="00334913">
        <w:rPr>
          <w:rStyle w:val="Zvraznenie"/>
        </w:rPr>
        <w:t xml:space="preserve"> (36 1055)</w:t>
      </w:r>
    </w:p>
    <w:p w:rsidR="002C3598" w:rsidRDefault="002C3598" w:rsidP="002C3598">
      <w:pPr>
        <w:pStyle w:val="Normlntun"/>
        <w:rPr>
          <w:rStyle w:val="Zvraznenie"/>
          <w:i w:val="0"/>
          <w:iCs/>
        </w:rPr>
      </w:pPr>
      <w:r>
        <w:rPr>
          <w:rStyle w:val="Zvraznenie"/>
          <w:i w:val="0"/>
          <w:iCs/>
        </w:rPr>
        <w:t>Elektrické spotrebiče pre domácnosť a na podobné účely. Bezpečnosť. Časť 2-105: Osobitné požiadavky na multifunkčné sprchové kúty. Zmena A2</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03.05.2021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60335-2-105:2005/A2: 2020, mod. IEC 60335-2-105:2004/A2: 2013</w:t>
      </w:r>
    </w:p>
    <w:p w:rsidR="002C3598" w:rsidRDefault="002C3598" w:rsidP="002C3598">
      <w:pPr>
        <w:rPr>
          <w:rStyle w:val="Obyejn"/>
        </w:rPr>
      </w:pPr>
      <w:r w:rsidRPr="00334913">
        <w:rPr>
          <w:rStyle w:val="Siln"/>
        </w:rPr>
        <w:t>Spôsob prevzatia:</w:t>
      </w:r>
      <w:r w:rsidRPr="00334913">
        <w:rPr>
          <w:rStyle w:val="Obyejn"/>
        </w:rPr>
        <w:t xml:space="preserve"> Prekladom</w:t>
      </w:r>
      <w:r w:rsidRPr="00334913">
        <w:rPr>
          <w:rStyle w:val="Obyejn"/>
        </w:rPr>
        <w:tab/>
      </w:r>
      <w:r w:rsidRPr="00334913">
        <w:rPr>
          <w:rStyle w:val="Siln"/>
        </w:rPr>
        <w:t>Jazyk:</w:t>
      </w:r>
      <w:r w:rsidRPr="00334913">
        <w:rPr>
          <w:rStyle w:val="Obyejn"/>
        </w:rPr>
        <w:t xml:space="preserve"> sk</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Pr="00334913" w:rsidRDefault="002C3598" w:rsidP="002C3598">
      <w:pPr>
        <w:rPr>
          <w:rStyle w:val="Obyejn"/>
        </w:rPr>
      </w:pPr>
      <w:r w:rsidRPr="00334913">
        <w:rPr>
          <w:rStyle w:val="Siln"/>
        </w:rPr>
        <w:lastRenderedPageBreak/>
        <w:t>Právne predpisy:</w:t>
      </w:r>
      <w:r w:rsidRPr="00334913">
        <w:rPr>
          <w:rStyle w:val="Obyejn"/>
        </w:rPr>
        <w:t xml:space="preserve"> ^ASmernica Európskeho parlamentu a Rady 2014/35/EÚ z 26. februára 2014^Bo harmonizácii právnych predpisov členských štátov týkajúcich sa sprístupnenia elektrického zariadenia určeného na používanie v rámci určitých limitov napätia na trhu;~^Anariadenie vlády SR č. 148/2016 Z. z. z 24. februára 2016^Bo sprístupňovaní elektrického zariadenia určeného na používanie v rámci určitých limitov napätia na trhu.</w:t>
      </w:r>
    </w:p>
    <w:p w:rsidR="002C3598" w:rsidRPr="00334913" w:rsidRDefault="002C3598" w:rsidP="002C3598">
      <w:pPr>
        <w:rPr>
          <w:rStyle w:val="Obyejn"/>
        </w:rPr>
      </w:pPr>
    </w:p>
    <w:p w:rsidR="002C3598" w:rsidRDefault="002C3598" w:rsidP="002C3598">
      <w:pPr>
        <w:rPr>
          <w:rStyle w:val="Zvraznenie"/>
          <w:i w:val="0"/>
          <w:iCs/>
        </w:rPr>
      </w:pPr>
    </w:p>
    <w:p w:rsidR="002C3598" w:rsidRDefault="002C3598" w:rsidP="002C3598">
      <w:pPr>
        <w:rPr>
          <w:rStyle w:val="Obyejn"/>
        </w:rPr>
      </w:pPr>
      <w:r w:rsidRPr="00334913">
        <w:rPr>
          <w:rStyle w:val="Siln"/>
        </w:rPr>
        <w:t>Predmet normy:</w:t>
      </w:r>
      <w:r w:rsidRPr="00334913">
        <w:rPr>
          <w:rStyle w:val="Obyejn"/>
        </w:rPr>
        <w:t xml:space="preserve"> Táto medzinárodná norma sa zaoberá bezpečnosťou elektrických multifunkčných sprchových kútov pre domácnosť a na podobné účely, ktorých menovité napätie nie je vyššie ako 250 V pri jednofázových spotrebičoch a 480 V pri ostatných spotrebičoch</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334913">
        <w:rPr>
          <w:rStyle w:val="Siln"/>
        </w:rPr>
        <w:t>STN EN 50636-2-107/A3</w:t>
      </w:r>
      <w:r w:rsidRPr="00334913">
        <w:rPr>
          <w:rStyle w:val="Zvraznenie"/>
        </w:rPr>
        <w:t xml:space="preserve"> (36 1055)</w:t>
      </w:r>
    </w:p>
    <w:p w:rsidR="002C3598" w:rsidRDefault="002C3598" w:rsidP="002C3598">
      <w:pPr>
        <w:pStyle w:val="Normlntun"/>
        <w:rPr>
          <w:rStyle w:val="Zvraznenie"/>
          <w:i w:val="0"/>
          <w:iCs/>
        </w:rPr>
      </w:pPr>
      <w:r>
        <w:rPr>
          <w:rStyle w:val="Zvraznenie"/>
          <w:i w:val="0"/>
          <w:iCs/>
        </w:rPr>
        <w:t>Bezpečnosť spotrebičov pre domácnosť a na podobné účely.  Časť 2-107: Osobitné požiadavky na robotické kosačky trávy napájané z batérií. Zmena A3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11.05.2021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50636-2-107: 2015/A3: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w:t>
      </w:r>
    </w:p>
    <w:p w:rsidR="002C3598" w:rsidRDefault="002C3598" w:rsidP="002C3598">
      <w:pPr>
        <w:pStyle w:val="Normlnkurzva"/>
        <w:rPr>
          <w:rStyle w:val="Zvraznenie"/>
          <w:i/>
          <w:iCs/>
        </w:rPr>
      </w:pPr>
      <w:r>
        <w:rPr>
          <w:rStyle w:val="Zvraznenie"/>
          <w:i/>
          <w:iCs/>
        </w:rPr>
        <w:t>Cenová skupina: 4</w:t>
      </w:r>
      <w:r>
        <w:rPr>
          <w:rStyle w:val="Zvraznenie"/>
          <w:i/>
          <w:iCs/>
        </w:rPr>
        <w:tab/>
        <w:t>Počet strán: 20</w:t>
      </w:r>
    </w:p>
    <w:p w:rsidR="002C3598" w:rsidRDefault="002C3598" w:rsidP="002C3598">
      <w:pPr>
        <w:rPr>
          <w:rStyle w:val="Zvraznenie"/>
          <w:i w:val="0"/>
          <w:iCs/>
        </w:rPr>
      </w:pPr>
    </w:p>
    <w:p w:rsidR="002C3598" w:rsidRDefault="002C3598" w:rsidP="002C3598">
      <w:pPr>
        <w:rPr>
          <w:rStyle w:val="Zvraznenie"/>
        </w:rPr>
      </w:pPr>
      <w:r w:rsidRPr="00334913">
        <w:rPr>
          <w:rStyle w:val="Siln"/>
        </w:rPr>
        <w:t>STN EN IEC 62841-2-3/A11</w:t>
      </w:r>
      <w:r w:rsidRPr="00334913">
        <w:rPr>
          <w:rStyle w:val="Zvraznenie"/>
        </w:rPr>
        <w:t xml:space="preserve"> (36 1560)</w:t>
      </w:r>
    </w:p>
    <w:p w:rsidR="002C3598" w:rsidRDefault="002C3598" w:rsidP="002C3598">
      <w:pPr>
        <w:pStyle w:val="Normlntun"/>
        <w:rPr>
          <w:rStyle w:val="Zvraznenie"/>
          <w:i w:val="0"/>
          <w:iCs/>
        </w:rPr>
      </w:pPr>
      <w:r>
        <w:rPr>
          <w:rStyle w:val="Zvraznenie"/>
          <w:i w:val="0"/>
          <w:iCs/>
        </w:rPr>
        <w:t>Elektrické ručné náradie, prenosné náradie a strojové zariadenia pre trávnik a záhradu. Bezpečnosť. Časť 2-3: Osobitné požiadavky na ručné brúsky, kotúčové leštičky a kotúčové šmirgľovačky. Zmena A11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04.06.2021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62841-2-3:2021/A11: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IEC 62841-2-3:2020: applies to hand-held grinders, disc-type polishers and disc-type sanders, including angle, straight and vertical tools, intended for use on various materials except magnesium, with a rated capacity not exceeding 230 mm. For grinders, the rated no-load speed does not exceed a peripheral speed of the accessory of 80 m/s at rated capacity. This standard does not apply to dedicated cut-off machines. This standard does not apply to orbital polishers and orbital sanders. This standard does not apply to die grinders. This Part 2-3 is to be used in conjunction with the first edition of IEC 62841-1:2014. The attention of National Committees is drawn to the fact that equipment manufacturers and testing organizations may need a transitional period following publication of a new, amended or revised IEC publication in which to make products in accordance with the new requirements and to equip themselves for conducting new or revised tests.</w:t>
      </w:r>
    </w:p>
    <w:p w:rsidR="002C3598" w:rsidRDefault="002C3598" w:rsidP="002C3598">
      <w:pPr>
        <w:pStyle w:val="Normlnkurzva"/>
        <w:rPr>
          <w:rStyle w:val="Zvraznenie"/>
          <w:i/>
          <w:iCs/>
        </w:rPr>
      </w:pPr>
      <w:r>
        <w:rPr>
          <w:rStyle w:val="Zvraznenie"/>
          <w:i/>
          <w:iCs/>
        </w:rPr>
        <w:t>Cenová skupina: 4</w:t>
      </w:r>
      <w:r>
        <w:rPr>
          <w:rStyle w:val="Zvraznenie"/>
          <w:i/>
          <w:iCs/>
        </w:rPr>
        <w:tab/>
        <w:t>Počet strán: 16</w:t>
      </w:r>
    </w:p>
    <w:p w:rsidR="002C3598" w:rsidRDefault="002C3598" w:rsidP="002C3598">
      <w:pPr>
        <w:rPr>
          <w:rStyle w:val="Zvraznenie"/>
          <w:i w:val="0"/>
          <w:iCs/>
        </w:rPr>
      </w:pPr>
    </w:p>
    <w:p w:rsidR="002C3598" w:rsidRDefault="002C3598" w:rsidP="002C3598">
      <w:pPr>
        <w:rPr>
          <w:rStyle w:val="Zvraznenie"/>
        </w:rPr>
      </w:pPr>
      <w:r w:rsidRPr="00334913">
        <w:rPr>
          <w:rStyle w:val="Siln"/>
        </w:rPr>
        <w:lastRenderedPageBreak/>
        <w:t>STN EN IEC 62841-3-7/A11</w:t>
      </w:r>
      <w:r w:rsidRPr="00334913">
        <w:rPr>
          <w:rStyle w:val="Zvraznenie"/>
        </w:rPr>
        <w:t xml:space="preserve"> (36 1560)</w:t>
      </w:r>
    </w:p>
    <w:p w:rsidR="002C3598" w:rsidRDefault="002C3598" w:rsidP="002C3598">
      <w:pPr>
        <w:pStyle w:val="Normlntun"/>
        <w:rPr>
          <w:rStyle w:val="Zvraznenie"/>
          <w:i w:val="0"/>
          <w:iCs/>
        </w:rPr>
      </w:pPr>
      <w:r>
        <w:rPr>
          <w:rStyle w:val="Zvraznenie"/>
          <w:i w:val="0"/>
          <w:iCs/>
        </w:rPr>
        <w:t>Elektrické ručné náradie, prenosné náradie a strojové zariadenia pre trávnik a záhradu. Bezpečnosť. Časť 3-7: Osobitné požiadavky na prenosné stenové píly. Zmena A11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26.05.2021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62841-3-7:2021/A11: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IEC 62841-3-7:2020 This document applies to transportable wall saws guided by a track guiding system intended for dry cutting or to be connected to a liquid system for cutting concrete, stone or similar material by means of a diamond wheel. The rated speed of the diamond wheel does not exceed a peripheral speed of 100 m/s at rated capacity. The rated voltage is not more than 250 V for single-phase a.c. or d.c. tools, and 480 V for three-phase a.c. tools. This document does not apply to transportable wall saws that are intended to be left unattended while performing an operation. This document does not apply to transportable wall saws that employ hydraulic systems. This document does not apply to hand-held cut-off machines.</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334913">
        <w:rPr>
          <w:rStyle w:val="Siln"/>
        </w:rPr>
        <w:t>STN EN IEC 62841-3-9/A11</w:t>
      </w:r>
      <w:r w:rsidRPr="00334913">
        <w:rPr>
          <w:rStyle w:val="Zvraznenie"/>
        </w:rPr>
        <w:t xml:space="preserve"> (36 1560)</w:t>
      </w:r>
    </w:p>
    <w:p w:rsidR="002C3598" w:rsidRDefault="002C3598" w:rsidP="002C3598">
      <w:pPr>
        <w:pStyle w:val="Normlntun"/>
        <w:rPr>
          <w:rStyle w:val="Zvraznenie"/>
          <w:i w:val="0"/>
          <w:iCs/>
        </w:rPr>
      </w:pPr>
      <w:r>
        <w:rPr>
          <w:rStyle w:val="Zvraznenie"/>
          <w:i w:val="0"/>
          <w:iCs/>
        </w:rPr>
        <w:t>Elektrické ručné náradie, prenosné náradie a strojové zariadenia pre trávnik a záhradu. Bezpečnosť. Časť 3-9: Osobitné požiadavky na prenosné pokosové píly. Zmena A11</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03.05.2021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62841-3-9:2020/A11: 2020</w:t>
      </w:r>
    </w:p>
    <w:p w:rsidR="002C3598" w:rsidRDefault="002C3598" w:rsidP="002C3598">
      <w:pPr>
        <w:rPr>
          <w:rStyle w:val="Obyejn"/>
        </w:rPr>
      </w:pPr>
      <w:r w:rsidRPr="00334913">
        <w:rPr>
          <w:rStyle w:val="Siln"/>
        </w:rPr>
        <w:t>Spôsob prevzatia:</w:t>
      </w:r>
      <w:r w:rsidRPr="00334913">
        <w:rPr>
          <w:rStyle w:val="Obyejn"/>
        </w:rPr>
        <w:t xml:space="preserve"> Prekladom</w:t>
      </w:r>
      <w:r w:rsidRPr="00334913">
        <w:rPr>
          <w:rStyle w:val="Obyejn"/>
        </w:rPr>
        <w:tab/>
      </w:r>
      <w:r w:rsidRPr="00334913">
        <w:rPr>
          <w:rStyle w:val="Siln"/>
        </w:rPr>
        <w:t>Jazyk:</w:t>
      </w:r>
      <w:r w:rsidRPr="00334913">
        <w:rPr>
          <w:rStyle w:val="Obyejn"/>
        </w:rPr>
        <w:t xml:space="preserve"> sk</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Pr="00334913" w:rsidRDefault="002C3598" w:rsidP="002C3598">
      <w:pPr>
        <w:rPr>
          <w:rStyle w:val="Obyejn"/>
        </w:rPr>
      </w:pPr>
      <w:r w:rsidRPr="00334913">
        <w:rPr>
          <w:rStyle w:val="Siln"/>
        </w:rPr>
        <w:t>Právne predpisy:</w:t>
      </w:r>
      <w:r w:rsidRPr="00334913">
        <w:rPr>
          <w:rStyle w:val="Obyejn"/>
        </w:rPr>
        <w:t xml:space="preserve"> ^ASmernica 2006/42/ES zo 17. mája 2006 (OJ L 157 z 9. 6. 2006)^Bo strojoch a pozmeňujúca smernicu 95/16/ES;~^Anariadenie vlády SR č. 436/2008 Z. z.,^Bktorým sa ustanovujú podrobnosti o technických požiadavkách a postupoch posudzovania zhody na strojové zariadenia.</w:t>
      </w:r>
    </w:p>
    <w:p w:rsidR="002C3598" w:rsidRPr="00334913" w:rsidRDefault="002C3598" w:rsidP="002C3598">
      <w:pPr>
        <w:rPr>
          <w:rStyle w:val="Obyejn"/>
        </w:rPr>
      </w:pPr>
    </w:p>
    <w:p w:rsidR="002C3598" w:rsidRDefault="002C3598" w:rsidP="002C3598">
      <w:pPr>
        <w:rPr>
          <w:rStyle w:val="Zvraznenie"/>
          <w:i w:val="0"/>
          <w:iCs/>
        </w:rPr>
      </w:pPr>
    </w:p>
    <w:p w:rsidR="002C3598" w:rsidRDefault="002C3598" w:rsidP="002C3598">
      <w:pPr>
        <w:rPr>
          <w:rStyle w:val="Obyejn"/>
        </w:rPr>
      </w:pPr>
      <w:r w:rsidRPr="00334913">
        <w:rPr>
          <w:rStyle w:val="Siln"/>
        </w:rPr>
        <w:t>Predmet normy:</w:t>
      </w:r>
      <w:r w:rsidRPr="00334913">
        <w:rPr>
          <w:rStyle w:val="Obyejn"/>
        </w:rPr>
        <w:t xml:space="preserve"> Táto kapitola z časti 1 platí s týmito zmenami: Dopĺňa sa: Táto časť IEC 62841 platí pre prenosné pokosové píly, ktoré sú určené na rezanie dreva a podobných materiálov, plastov a neželezných kovov okrem horčíka pomocou ozubeného pílového kotúča, ktorého priemer nepresahuje 410 mm, a môže sa na ňu v tomto dokumente odvolávať ako na pílu alebo náradie. Táto medzinárodná norma neplatí pre pokosové píly používané na rezanie iných kovov, napríklad horčíka, ocele alebo železa. Táto norma neplatí pre pokosové píly s automatickým podávacím zariadením. Tento dokument sa nevzťahuje na píly určené na použitie s brúsnymi kotúčmi. Tento dokument sa nevzťahuje na náradie zlučujúce funkciu pokosovej píly s funkciou kotúčovej stolovej píly.</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Siln"/>
        </w:rPr>
      </w:pPr>
    </w:p>
    <w:p w:rsidR="002C3598" w:rsidRDefault="002C3598" w:rsidP="002C3598">
      <w:pPr>
        <w:rPr>
          <w:rStyle w:val="Siln"/>
        </w:rPr>
      </w:pPr>
    </w:p>
    <w:p w:rsidR="002C3598" w:rsidRDefault="002C3598" w:rsidP="002C3598">
      <w:pPr>
        <w:rPr>
          <w:rStyle w:val="Siln"/>
        </w:rPr>
      </w:pPr>
    </w:p>
    <w:p w:rsidR="002C3598" w:rsidRDefault="002C3598" w:rsidP="002C3598">
      <w:pPr>
        <w:rPr>
          <w:rStyle w:val="Zvraznenie"/>
        </w:rPr>
      </w:pPr>
      <w:r w:rsidRPr="00334913">
        <w:rPr>
          <w:rStyle w:val="Siln"/>
        </w:rPr>
        <w:lastRenderedPageBreak/>
        <w:t>STN EN IEC 61010-2-030/A11</w:t>
      </w:r>
      <w:r w:rsidRPr="00334913">
        <w:rPr>
          <w:rStyle w:val="Zvraznenie"/>
        </w:rPr>
        <w:t xml:space="preserve"> (36 2000)</w:t>
      </w:r>
    </w:p>
    <w:p w:rsidR="002C3598" w:rsidRDefault="002C3598" w:rsidP="002C3598">
      <w:pPr>
        <w:pStyle w:val="Normlntun"/>
        <w:rPr>
          <w:rStyle w:val="Zvraznenie"/>
          <w:i w:val="0"/>
          <w:iCs/>
        </w:rPr>
      </w:pPr>
      <w:r>
        <w:rPr>
          <w:rStyle w:val="Zvraznenie"/>
          <w:i w:val="0"/>
          <w:iCs/>
        </w:rPr>
        <w:t>Bezpečnostné požiadavky na elektrické zariadenia na meranie, riadenie a laboratórne použitie. Časť 2-030: Osobitné požiadavky na zariadenia so skúšobnými alebo meracími obvodmi. Zmena A11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11.05.2021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61010-2-030: 2021/A11: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IEC 61010-2-030:2017 This group safety publication is primarily intended to be used as a product safety standard for the products mentioned in the scope, but shall also be used by technical committees in the preparation of their publications for products similar to those mentioned in the scope of this standard, in accordance with the principles laid down in IEC Guide 104 and lSO/lEC Guide 51. IEC 61010-2-030:2017 specifies safety requirements for equipment having testing or measuring circuits which are connected for test or measurement purposes to devices or circuits outside the measurement equipment itself. These include measuring circuits which are part of electrical test and measurement equipment, laboratory equipment, or process control equipment.</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334913">
        <w:rPr>
          <w:rStyle w:val="Siln"/>
        </w:rPr>
        <w:t>STN EN IEC 61010-2-034/A11</w:t>
      </w:r>
      <w:r w:rsidRPr="00334913">
        <w:rPr>
          <w:rStyle w:val="Zvraznenie"/>
        </w:rPr>
        <w:t xml:space="preserve"> (36 2000)</w:t>
      </w:r>
    </w:p>
    <w:p w:rsidR="002C3598" w:rsidRDefault="002C3598" w:rsidP="002C3598">
      <w:pPr>
        <w:pStyle w:val="Normlntun"/>
        <w:rPr>
          <w:rStyle w:val="Zvraznenie"/>
          <w:i w:val="0"/>
          <w:iCs/>
        </w:rPr>
      </w:pPr>
      <w:r>
        <w:rPr>
          <w:rStyle w:val="Zvraznenie"/>
          <w:i w:val="0"/>
          <w:iCs/>
        </w:rPr>
        <w:t>Bezpečnostné požiadavky na elektrické zariadenia na meranie, riadenie a laboratórne použitie. Časť 2-034: Osobitné požiadavky na zariadenia na meranie izolačného odporu a na skúšanie elektrickej pevnosti. Zmena A11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11.05.2021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61010-2-034: 2021/A11: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IEC 61010-2-034:2017 This group safety publication is primarily intended to be used as a product safety standard for the products mentioned in the scope, but shall also be used by technical committees in the preparation of their publications for products similar to those mentioned in the scope of this standard, in accordance with the principles laid down in IEC Guide 104 and lSO/lEC Guide 51. IEC 61010-2-034:2017 specifies safety requirements for measurement equipment for insulation resistance and test equipment for electric strength with an output voltage exceeding 50 V a.c. or 120 V d.c. This document also applies to combined measuring equipment which has an insulation resistance measurement function or an electric strength test measurement function.</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334913">
        <w:rPr>
          <w:rStyle w:val="Siln"/>
        </w:rPr>
        <w:t>STN EN IEC 61010-2-091/A11</w:t>
      </w:r>
      <w:r w:rsidRPr="00334913">
        <w:rPr>
          <w:rStyle w:val="Zvraznenie"/>
        </w:rPr>
        <w:t xml:space="preserve"> (36 2000)</w:t>
      </w:r>
    </w:p>
    <w:p w:rsidR="002C3598" w:rsidRDefault="002C3598" w:rsidP="002C3598">
      <w:pPr>
        <w:pStyle w:val="Normlntun"/>
        <w:rPr>
          <w:rStyle w:val="Zvraznenie"/>
          <w:i w:val="0"/>
          <w:iCs/>
        </w:rPr>
      </w:pPr>
      <w:r>
        <w:rPr>
          <w:rStyle w:val="Zvraznenie"/>
          <w:i w:val="0"/>
          <w:iCs/>
        </w:rPr>
        <w:t>Bezpečnostné požiadavky na elektrické zariadenia na meranie, riadenie a laboratórne použitie. Časť 2-091: Osobitné požiadavky na skriňové röntgenové systémy. Zmena A11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26.05.2021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lastRenderedPageBreak/>
        <w:t>Úroveň zapracovania:</w:t>
      </w:r>
      <w:r w:rsidRPr="00334913">
        <w:rPr>
          <w:rStyle w:val="Obyejn"/>
        </w:rPr>
        <w:t xml:space="preserve"> idt. EN IEC 61010-2-091:2021/A11: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IEC 61010-2-091:2019 is available as IEC 61010-2-091:2019 RLV which contains the International Standard and its Redline version, showing all changes of the technical content compared to the previous edition. IEC 61010-2-091:2019 specifies particular safety requirements for cabinet X-ray systems, which fall under any of categories a), b) or c) below. a) Electrical test and measurement equipment This is equipment which by electromagnetic means tests, measures, indicates or records one or more electrical or physical quantities, also non-measuring equipment such as signal generators, measurement standards, power supplies for laboratory use, transducers, transmitters, etc. NOTE 1 This includes bench-top power supplies intended to aid a testing or measuring operation on another piece of equipment.</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334913">
        <w:rPr>
          <w:rStyle w:val="Siln"/>
        </w:rPr>
        <w:t>STN EN IEC 62281/A1</w:t>
      </w:r>
      <w:r w:rsidRPr="00334913">
        <w:rPr>
          <w:rStyle w:val="Zvraznenie"/>
        </w:rPr>
        <w:t xml:space="preserve"> (36 4360)</w:t>
      </w:r>
    </w:p>
    <w:p w:rsidR="002C3598" w:rsidRDefault="002C3598" w:rsidP="002C3598">
      <w:pPr>
        <w:pStyle w:val="Normlntun"/>
        <w:rPr>
          <w:rStyle w:val="Zvraznenie"/>
          <w:i w:val="0"/>
          <w:iCs/>
        </w:rPr>
      </w:pPr>
      <w:r>
        <w:rPr>
          <w:rStyle w:val="Zvraznenie"/>
          <w:i w:val="0"/>
          <w:iCs/>
        </w:rPr>
        <w:t>Bezpečnosť primárnych a akumulátorových lítiových článkov a batérií počas prepravy. Zmena A1 ****)</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25.05.2021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IEC 62281:2019/A1: 2021, idt. IEC 62281:2019/AMD1: 2021</w:t>
      </w:r>
    </w:p>
    <w:p w:rsidR="002C3598" w:rsidRDefault="002C3598" w:rsidP="002C3598">
      <w:pPr>
        <w:rPr>
          <w:rStyle w:val="Obyejn"/>
        </w:rPr>
      </w:pPr>
      <w:r w:rsidRPr="00334913">
        <w:rPr>
          <w:rStyle w:val="Siln"/>
        </w:rPr>
        <w:t>Spôsob prevzatia:</w:t>
      </w:r>
      <w:r w:rsidRPr="00334913">
        <w:rPr>
          <w:rStyle w:val="Obyejn"/>
        </w:rPr>
        <w:t xml:space="preserve"> Prevzatie oznámením vo Vestníku</w:t>
      </w:r>
      <w:r w:rsidRPr="00334913">
        <w:rPr>
          <w:rStyle w:val="Obyejn"/>
        </w:rPr>
        <w:tab/>
      </w:r>
      <w:r w:rsidRPr="00334913">
        <w:rPr>
          <w:rStyle w:val="Siln"/>
        </w:rPr>
        <w:t>Jazyk:</w:t>
      </w:r>
      <w:r w:rsidRPr="00334913">
        <w:rPr>
          <w:rStyle w:val="Obyejn"/>
        </w:rPr>
        <w:t xml:space="preserve"> en</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This International Standard specifies test methods and requirements for primary and secondary (rechargeable) lithium cells and batteries to ensure their safety during transport other than for recycling or disposal. Requirements specified in this document do not apply in those cases where special provisions given in the relevant regulations, listed in 7.3, provide exemptions. NOTE Different standards may apply for lithium-ion traction battery systems used for electrically propelled road vehicles.</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334913">
        <w:rPr>
          <w:rStyle w:val="Siln"/>
        </w:rPr>
        <w:t>STN EN 50310/A1</w:t>
      </w:r>
      <w:r w:rsidRPr="00334913">
        <w:rPr>
          <w:rStyle w:val="Zvraznenie"/>
        </w:rPr>
        <w:t xml:space="preserve"> (36 9072)</w:t>
      </w:r>
    </w:p>
    <w:p w:rsidR="002C3598" w:rsidRDefault="002C3598" w:rsidP="002C3598">
      <w:pPr>
        <w:pStyle w:val="Normlntun"/>
        <w:rPr>
          <w:rStyle w:val="Zvraznenie"/>
          <w:i w:val="0"/>
          <w:iCs/>
        </w:rPr>
      </w:pPr>
      <w:r>
        <w:rPr>
          <w:rStyle w:val="Zvraznenie"/>
          <w:i w:val="0"/>
          <w:iCs/>
        </w:rPr>
        <w:t>Siete pospájania pre telekomunikácie v budovách a iných stavbách. Zmena A1</w:t>
      </w:r>
    </w:p>
    <w:p w:rsidR="002C3598" w:rsidRDefault="002C3598" w:rsidP="002C3598">
      <w:pPr>
        <w:rPr>
          <w:rStyle w:val="Obyejn"/>
        </w:rPr>
      </w:pPr>
      <w:r w:rsidRPr="00334913">
        <w:rPr>
          <w:rStyle w:val="Siln"/>
        </w:rPr>
        <w:t>Dátum vydania:</w:t>
      </w:r>
      <w:r w:rsidRPr="00334913">
        <w:rPr>
          <w:rStyle w:val="Obyejn"/>
        </w:rPr>
        <w:t xml:space="preserve"> 01.08.2021</w:t>
      </w:r>
      <w:r w:rsidRPr="00334913">
        <w:rPr>
          <w:rStyle w:val="Obyejn"/>
        </w:rPr>
        <w:tab/>
      </w:r>
      <w:r w:rsidRPr="00334913">
        <w:rPr>
          <w:rStyle w:val="Obyejn"/>
        </w:rPr>
        <w:tab/>
      </w:r>
      <w:r w:rsidRPr="00334913">
        <w:rPr>
          <w:rStyle w:val="Siln"/>
        </w:rPr>
        <w:t>Dátum zrušenia:</w:t>
      </w:r>
      <w:r w:rsidRPr="00334913">
        <w:rPr>
          <w:rStyle w:val="Obyejn"/>
        </w:rPr>
        <w:t xml:space="preserve"> </w:t>
      </w:r>
    </w:p>
    <w:p w:rsidR="002C3598" w:rsidRDefault="002C3598" w:rsidP="002C3598">
      <w:pPr>
        <w:rPr>
          <w:rStyle w:val="Obyejn"/>
        </w:rPr>
      </w:pPr>
      <w:r w:rsidRPr="00334913">
        <w:rPr>
          <w:rStyle w:val="Siln"/>
        </w:rPr>
        <w:t>Dátum schválenia:</w:t>
      </w:r>
      <w:r w:rsidRPr="00334913">
        <w:rPr>
          <w:rStyle w:val="Obyejn"/>
        </w:rPr>
        <w:t xml:space="preserve"> 27.05.2021</w:t>
      </w:r>
      <w:r w:rsidRPr="00334913">
        <w:rPr>
          <w:rStyle w:val="Obyejn"/>
        </w:rPr>
        <w:tab/>
      </w:r>
      <w:r w:rsidRPr="00334913">
        <w:rPr>
          <w:rStyle w:val="Siln"/>
        </w:rPr>
        <w:t>Dátum účinnosti:</w:t>
      </w:r>
      <w:r w:rsidRPr="00334913">
        <w:rPr>
          <w:rStyle w:val="Obyejn"/>
        </w:rPr>
        <w:t xml:space="preserve"> </w:t>
      </w:r>
    </w:p>
    <w:p w:rsidR="002C3598" w:rsidRDefault="002C3598" w:rsidP="002C3598">
      <w:pPr>
        <w:rPr>
          <w:rStyle w:val="Obyejn"/>
        </w:rPr>
      </w:pPr>
      <w:r w:rsidRPr="00334913">
        <w:rPr>
          <w:rStyle w:val="Siln"/>
        </w:rPr>
        <w:t>Úroveň zapracovania:</w:t>
      </w:r>
      <w:r w:rsidRPr="00334913">
        <w:rPr>
          <w:rStyle w:val="Obyejn"/>
        </w:rPr>
        <w:t xml:space="preserve"> idt. EN 50310:2016/A1: 2020</w:t>
      </w:r>
    </w:p>
    <w:p w:rsidR="002C3598" w:rsidRDefault="002C3598" w:rsidP="002C3598">
      <w:pPr>
        <w:rPr>
          <w:rStyle w:val="Obyejn"/>
        </w:rPr>
      </w:pPr>
      <w:r w:rsidRPr="00334913">
        <w:rPr>
          <w:rStyle w:val="Siln"/>
        </w:rPr>
        <w:t>Spôsob prevzatia:</w:t>
      </w:r>
      <w:r w:rsidRPr="00334913">
        <w:rPr>
          <w:rStyle w:val="Obyejn"/>
        </w:rPr>
        <w:t xml:space="preserve"> Prekladom</w:t>
      </w:r>
      <w:r w:rsidRPr="00334913">
        <w:rPr>
          <w:rStyle w:val="Obyejn"/>
        </w:rPr>
        <w:tab/>
      </w:r>
      <w:r w:rsidRPr="00334913">
        <w:rPr>
          <w:rStyle w:val="Siln"/>
        </w:rPr>
        <w:t>Jazyk:</w:t>
      </w:r>
      <w:r w:rsidRPr="00334913">
        <w:rPr>
          <w:rStyle w:val="Obyejn"/>
        </w:rPr>
        <w:t xml:space="preserve"> sk</w:t>
      </w:r>
    </w:p>
    <w:p w:rsidR="002C3598" w:rsidRDefault="002C3598" w:rsidP="002C3598">
      <w:pPr>
        <w:rPr>
          <w:rStyle w:val="Obyejn"/>
        </w:rPr>
      </w:pPr>
      <w:r w:rsidRPr="00334913">
        <w:rPr>
          <w:rStyle w:val="Siln"/>
        </w:rPr>
        <w:t>Nahradené normy:</w:t>
      </w:r>
      <w:r w:rsidRPr="00334913">
        <w:rPr>
          <w:rStyle w:val="Obyejn"/>
        </w:rPr>
        <w:t xml:space="preserve"> </w:t>
      </w:r>
    </w:p>
    <w:p w:rsidR="002C3598" w:rsidRDefault="002C3598" w:rsidP="002C3598">
      <w:pPr>
        <w:rPr>
          <w:rStyle w:val="Obyejn"/>
        </w:rPr>
      </w:pPr>
      <w:r w:rsidRPr="00334913">
        <w:rPr>
          <w:rStyle w:val="Siln"/>
        </w:rPr>
        <w:t>Čiastočne nahradené normy:</w:t>
      </w:r>
      <w:r w:rsidRPr="00334913">
        <w:rPr>
          <w:rStyle w:val="Obyejn"/>
        </w:rPr>
        <w:t xml:space="preserve"> </w:t>
      </w:r>
    </w:p>
    <w:p w:rsidR="002C3598" w:rsidRDefault="002C3598" w:rsidP="002C3598">
      <w:pPr>
        <w:rPr>
          <w:rStyle w:val="Obyejn"/>
        </w:rPr>
      </w:pPr>
      <w:r w:rsidRPr="00334913">
        <w:rPr>
          <w:rStyle w:val="Siln"/>
        </w:rPr>
        <w:t>Právne predpisy:</w:t>
      </w:r>
      <w:r w:rsidRPr="00334913">
        <w:rPr>
          <w:rStyle w:val="Obyejn"/>
        </w:rPr>
        <w:t xml:space="preserve"> </w:t>
      </w:r>
    </w:p>
    <w:p w:rsidR="002C3598" w:rsidRDefault="002C3598" w:rsidP="002C3598">
      <w:pPr>
        <w:rPr>
          <w:rStyle w:val="Obyejn"/>
        </w:rPr>
      </w:pPr>
      <w:r w:rsidRPr="00334913">
        <w:rPr>
          <w:rStyle w:val="Siln"/>
        </w:rPr>
        <w:t>Predmet normy:</w:t>
      </w:r>
      <w:r w:rsidRPr="00334913">
        <w:rPr>
          <w:rStyle w:val="Obyejn"/>
        </w:rPr>
        <w:t xml:space="preserve"> Táto európska norma špecifikuje požiadavky a poskytuje odporúčania pre návrh a inštaláciu spojení (pospájaní) medzi rôznymi elektricky vodivými prvkami v budovách a iných stavbách počas ich výstavby alebo renovácie, v ktorých sa plánuje inštalácia informačnej techniky (IT), a všeobecnejšie telekomunikačných zariadení, s cieľom: a) minimalizovať riziko elektrického nebezpečenstva na správnu funkciu týchto zariadení a </w:t>
      </w:r>
      <w:r w:rsidRPr="00334913">
        <w:rPr>
          <w:rStyle w:val="Obyejn"/>
        </w:rPr>
        <w:lastRenderedPageBreak/>
        <w:t>prepájacích káblových rozvodov; b) poskytnúť telekomunikačnú inštaláciu so spoľahlivou signálovou referenciou – ktorá môže zvýšiť odolnosť proti elektromagnetickému rušeniu. Požiadavky tejto európskej normy sú aplikovateľné na všetky typy budov a iné stavby v priestoroch určených EN 50174-2 (napríklad v obytných, kancelárskych, priemyselných priestoroch a v dátových centrách), ale informácie poskytnuté v tejto európskej norme môžu byť nápomocné aj pre ďalšie typy budov a konštrukcií. Táto európska norma neplatí na sieťový napájací rozvod so striedavým napätím nad 1000 V.</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B82156">
        <w:rPr>
          <w:rStyle w:val="Siln"/>
        </w:rPr>
        <w:t>STN EN IEC 60670-1/A11</w:t>
      </w:r>
      <w:r w:rsidRPr="00B82156">
        <w:rPr>
          <w:rStyle w:val="Zvraznenie"/>
        </w:rPr>
        <w:t xml:space="preserve"> (37 0100)</w:t>
      </w:r>
    </w:p>
    <w:p w:rsidR="002C3598" w:rsidRDefault="002C3598" w:rsidP="002C3598">
      <w:pPr>
        <w:pStyle w:val="Normlntun"/>
        <w:rPr>
          <w:rStyle w:val="Zvraznenie"/>
          <w:i w:val="0"/>
          <w:iCs/>
        </w:rPr>
      </w:pPr>
      <w:r>
        <w:rPr>
          <w:rStyle w:val="Zvraznenie"/>
          <w:i w:val="0"/>
          <w:iCs/>
        </w:rPr>
        <w:t>Škatule a úplné kryty na elektrické príslušenstvá pre domácnosť a na podobné pevné elektrické inštalácie. Časť 1: Všeobecné požiadavky. Zmena A11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20.05.2021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IEC 60670-1:2021/A11: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To cover requirements and tests for Boxes and enclosures for electrical accessories for household and similar fixed electrical installations</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B82156">
        <w:rPr>
          <w:rStyle w:val="Siln"/>
        </w:rPr>
        <w:t>STN EN ISO 15216-1/A1</w:t>
      </w:r>
      <w:r w:rsidRPr="00B82156">
        <w:rPr>
          <w:rStyle w:val="Zvraznenie"/>
        </w:rPr>
        <w:t xml:space="preserve"> (56 0125)</w:t>
      </w:r>
    </w:p>
    <w:p w:rsidR="002C3598" w:rsidRDefault="002C3598" w:rsidP="002C3598">
      <w:pPr>
        <w:pStyle w:val="Normlntun"/>
        <w:rPr>
          <w:rStyle w:val="Zvraznenie"/>
          <w:i w:val="0"/>
          <w:iCs/>
        </w:rPr>
      </w:pPr>
      <w:r>
        <w:rPr>
          <w:rStyle w:val="Zvraznenie"/>
          <w:i w:val="0"/>
          <w:iCs/>
        </w:rPr>
        <w:t>Mikrobiológia potravinárskeho reťazca. Horizontálna metóda na stanovenie vírusu hepatitídy A a norovírusu polymerázovou reťazovou reakciou s priebežnou analýzou. Časť 1: Metóda kvantitatívneho stanovenia (ISO 15216-1: 2017). Zmena A1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07.05.2021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ISO 15216-1:2017/A1: 2021, idt. ISO 15216-1:2017/Amd 1: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B82156">
        <w:rPr>
          <w:rStyle w:val="Siln"/>
        </w:rPr>
        <w:t>STN EN ISO 2719/A1</w:t>
      </w:r>
      <w:r w:rsidRPr="00B82156">
        <w:rPr>
          <w:rStyle w:val="Zvraznenie"/>
        </w:rPr>
        <w:t xml:space="preserve"> (65 6064)</w:t>
      </w:r>
    </w:p>
    <w:p w:rsidR="002C3598" w:rsidRDefault="002C3598" w:rsidP="002C3598">
      <w:pPr>
        <w:pStyle w:val="Normlntun"/>
        <w:rPr>
          <w:rStyle w:val="Zvraznenie"/>
          <w:i w:val="0"/>
          <w:iCs/>
        </w:rPr>
      </w:pPr>
      <w:r>
        <w:rPr>
          <w:rStyle w:val="Zvraznenie"/>
          <w:i w:val="0"/>
          <w:iCs/>
        </w:rPr>
        <w:t>Stanovenie bodu vzplanutia. Metóda v uzavretom tégliku podľa Penského-Martensa (ISO 2719: 2016). Zmena A1</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27.05.2021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ISO 2719:2016/A1: 2021, idt. ISO 2719:2016/Amd 1: 2021</w:t>
      </w:r>
    </w:p>
    <w:p w:rsidR="002C3598" w:rsidRDefault="002C3598" w:rsidP="002C3598">
      <w:pPr>
        <w:rPr>
          <w:rStyle w:val="Obyejn"/>
        </w:rPr>
      </w:pPr>
      <w:r w:rsidRPr="00B82156">
        <w:rPr>
          <w:rStyle w:val="Siln"/>
        </w:rPr>
        <w:t>Spôsob prevzatia:</w:t>
      </w:r>
      <w:r w:rsidRPr="00B82156">
        <w:rPr>
          <w:rStyle w:val="Obyejn"/>
        </w:rPr>
        <w:t xml:space="preserve"> Prekladom</w:t>
      </w:r>
      <w:r w:rsidRPr="00B82156">
        <w:rPr>
          <w:rStyle w:val="Obyejn"/>
        </w:rPr>
        <w:tab/>
      </w:r>
      <w:r w:rsidRPr="00B82156">
        <w:rPr>
          <w:rStyle w:val="Siln"/>
        </w:rPr>
        <w:t>Jazyk:</w:t>
      </w:r>
      <w:r w:rsidRPr="00B82156">
        <w:rPr>
          <w:rStyle w:val="Obyejn"/>
        </w:rPr>
        <w:t xml:space="preserve"> sk</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^AZákon č. 596/2002 Z. z.^Búplné znenie zákona Národnej rady Slovenskej republiky č. 272/1994 Z. z. o ochrane zdravia ľudí, ako vyplýva zo zmien a doplnení vykonaných zákonom Národnej rady Slovenskej republiky č. 222/1996 Z. z., </w:t>
      </w:r>
      <w:r w:rsidRPr="00B82156">
        <w:rPr>
          <w:rStyle w:val="Obyejn"/>
        </w:rPr>
        <w:lastRenderedPageBreak/>
        <w:t>zákonom Národnej rady Slovenskej republiky č. 290/1996 Z. z., zákonom č. 95/2000 Z. z., zákonom č. 470/2000 Z. z., zákonom č. 514/2001 Z. z. a zákonom č. 553/2001 Z. z. v znení neskorších predpisov;~^Azákon č. 124/2006 Z. z.^Bo bezpečnosti a ochrane zdravia pri práci a o zmene a doplnení niektorých zákonov v znení neskorších predpisov;~^Avyhláška Ministerstva vnútra Slovenskej republiky č. 96/2004 Z. z.,^Bktorou sa ustanovujú zásady požiarnej bezpečnosti pri manipulácii a skladovaní horľavých kvapalín, ťažkých vykurovacích olejov a rastlinných a živočíšnych tukov a olejov v znení neskorších predpisov.</w:t>
      </w:r>
    </w:p>
    <w:p w:rsidR="002C3598" w:rsidRDefault="002C3598" w:rsidP="002C3598">
      <w:pPr>
        <w:rPr>
          <w:rStyle w:val="Obyejn"/>
        </w:rPr>
      </w:pPr>
      <w:r w:rsidRPr="00B82156">
        <w:rPr>
          <w:rStyle w:val="Siln"/>
        </w:rPr>
        <w:t>Predmet normy:</w:t>
      </w:r>
      <w:r w:rsidRPr="00B82156">
        <w:rPr>
          <w:rStyle w:val="Obyejn"/>
        </w:rPr>
        <w:t xml:space="preserve"> Táto medzinárodná norma opisuje tri postupy, A, B a C, ktoré používajú metódu v uzavretom tégliku podľa Penského-Martensa na stanovenie bodu vzplanutia horľavých kvapalín, kvapalín so suspendovanými tuhými látkami, kvapalín so sklonom vytvárať pri skúšobných podmienkach povrchový film,bionafty a iných kvapalín v teplotnom rozsahu od 40 °C do 370 °C.Postup A sa používa na destilované palivá (motorová nafta, zmesové bionafty,vykurovací olej a turbínové palivá),nové a použité mazacie oleje,náterové látky a iné homogénne kvapaliny,ktoré nie sú zahrnuté v postupoch B alebo C.Postup B sa používá na zvyškové palivové oleje,riedené asfalty, použité mazacie oleje,zmesi kvapalín s tuhými časticami, na kvapaliny, ktoré majú sklon vytvárať povrchový film pri podmienkach skúšky alebo majú takú kinematickú viskozitu, že sa nerovnomerne zahrievajú pri podmienkach miešania a    zahrievania podľa postupu A.Postup C sa používa na metylestery mastných kyselín (FAME), ktoré sú špecifikované v normách, napríklad v EN 14214.</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B82156">
        <w:rPr>
          <w:rStyle w:val="Siln"/>
        </w:rPr>
        <w:t>STN EN 1993-1-4/A2</w:t>
      </w:r>
      <w:r w:rsidRPr="00B82156">
        <w:rPr>
          <w:rStyle w:val="Zvraznenie"/>
        </w:rPr>
        <w:t xml:space="preserve"> (73 1401)</w:t>
      </w:r>
    </w:p>
    <w:p w:rsidR="002C3598" w:rsidRDefault="002C3598" w:rsidP="002C3598">
      <w:pPr>
        <w:pStyle w:val="Normlntun"/>
        <w:rPr>
          <w:rStyle w:val="Zvraznenie"/>
          <w:i w:val="0"/>
          <w:iCs/>
        </w:rPr>
      </w:pPr>
      <w:r>
        <w:rPr>
          <w:rStyle w:val="Zvraznenie"/>
          <w:i w:val="0"/>
          <w:iCs/>
        </w:rPr>
        <w:t>Eurokód 3. Navrhovanie oceľových konštrukcií. Časť 1-4: Všeobecné pravidlá. Doplnkové pravidlá pre nehrdzavejúce ocele. Zmena A2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12.02.2021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1993-1-4:2006/A2: 2020</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^ASmernica 89/106/EHS z 21. decembra 1988 (OJ L 40 z 11. 2. 1989)^Bo stavebných výrobkoch zmenená smernicou 93/68/EHS (OJ L z 30. 8. 1995) a rozhodnutím komisie (95/467/EHS z 24. októbra 1995), (OJ L 268 z 10. 11. 1995)~^Azákon č. 90/1998 z. z.^Bo stavebných výrobkoch z roku 1998 v znení neskorších predpisov~^Azákon č. 264/1999 z. z.^Bo technických požiadavkách na výrobky, o posudzovaní zhody a o zmene a doplnení niektorých zákonov.</w:t>
      </w:r>
    </w:p>
    <w:p w:rsidR="002C3598" w:rsidRDefault="002C3598" w:rsidP="002C3598">
      <w:pPr>
        <w:rPr>
          <w:rStyle w:val="Obyejn"/>
        </w:rPr>
      </w:pPr>
      <w:r w:rsidRPr="00B82156">
        <w:rPr>
          <w:rStyle w:val="Siln"/>
        </w:rPr>
        <w:t>Predmet normy:</w:t>
      </w:r>
      <w:r w:rsidRPr="00B82156">
        <w:rPr>
          <w:rStyle w:val="Obyejn"/>
        </w:rPr>
        <w:t xml:space="preserve"> Táto časť EN 1993 uvádza požiadavky na návrh budov a inžinierskych konštrukcií, rozširuje a modifikuje použitie EN 1993 1 1, EN 1993 1 3, EN 1993-1-5 a EN 1993-1-8 na austenitické, austeniticko - feritické a feritické ocele.</w:t>
      </w:r>
    </w:p>
    <w:p w:rsidR="002C3598" w:rsidRDefault="002C3598" w:rsidP="002C3598">
      <w:pPr>
        <w:pStyle w:val="Normlnkurzva"/>
        <w:rPr>
          <w:rStyle w:val="Zvraznenie"/>
          <w:i/>
          <w:iCs/>
        </w:rPr>
      </w:pPr>
      <w:r>
        <w:rPr>
          <w:rStyle w:val="Zvraznenie"/>
          <w:i/>
          <w:iCs/>
        </w:rPr>
        <w:t>Cenová skupina: 3</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B82156">
        <w:rPr>
          <w:rStyle w:val="Siln"/>
        </w:rPr>
        <w:t>STN EN ISO 17254/A1</w:t>
      </w:r>
      <w:r w:rsidRPr="00B82156">
        <w:rPr>
          <w:rStyle w:val="Zvraznenie"/>
        </w:rPr>
        <w:t xml:space="preserve"> (85 6381)</w:t>
      </w:r>
    </w:p>
    <w:p w:rsidR="002C3598" w:rsidRDefault="002C3598" w:rsidP="002C3598">
      <w:pPr>
        <w:pStyle w:val="Normlntun"/>
        <w:rPr>
          <w:rStyle w:val="Zvraznenie"/>
          <w:i w:val="0"/>
          <w:iCs/>
        </w:rPr>
      </w:pPr>
      <w:r>
        <w:rPr>
          <w:rStyle w:val="Zvraznenie"/>
          <w:i w:val="0"/>
          <w:iCs/>
        </w:rPr>
        <w:t>Stomatológia. Pružiny na použitie v čeľustnej ortopédii (ISO 17254: 2016). Zmena A1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26.04.2021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ISO 17254:2016/A1: 2021, idt. ISO 17254:2016/Amd 1: 2020</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lastRenderedPageBreak/>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w:t>
      </w:r>
    </w:p>
    <w:p w:rsidR="002C3598" w:rsidRDefault="002C3598" w:rsidP="002C3598">
      <w:pPr>
        <w:pStyle w:val="Normlnkurzva"/>
        <w:rPr>
          <w:rStyle w:val="Zvraznenie"/>
          <w:i/>
          <w:iCs/>
        </w:rPr>
      </w:pPr>
      <w:r>
        <w:rPr>
          <w:rStyle w:val="Zvraznenie"/>
          <w:i/>
          <w:iCs/>
        </w:rPr>
        <w:t>Cenová skupina: 3</w:t>
      </w:r>
      <w:r>
        <w:rPr>
          <w:rStyle w:val="Zvraznenie"/>
          <w:i/>
          <w:iCs/>
        </w:rPr>
        <w:tab/>
        <w:t>Počet strán: 12</w:t>
      </w:r>
    </w:p>
    <w:p w:rsidR="002C3598" w:rsidRDefault="002C3598" w:rsidP="002C3598">
      <w:pPr>
        <w:rPr>
          <w:rStyle w:val="Zvraznenie"/>
          <w:i w:val="0"/>
          <w:iCs/>
        </w:rPr>
      </w:pPr>
    </w:p>
    <w:p w:rsidR="002C3598" w:rsidRDefault="002C3598" w:rsidP="002C3598">
      <w:pPr>
        <w:rPr>
          <w:rStyle w:val="Zvraznenie"/>
        </w:rPr>
      </w:pPr>
      <w:r w:rsidRPr="00B82156">
        <w:rPr>
          <w:rStyle w:val="Siln"/>
        </w:rPr>
        <w:t>STN ISO/IEC 18033-4/AMD 1</w:t>
      </w:r>
      <w:r w:rsidRPr="00B82156">
        <w:rPr>
          <w:rStyle w:val="Zvraznenie"/>
        </w:rPr>
        <w:t xml:space="preserve"> (97 4121)</w:t>
      </w:r>
    </w:p>
    <w:p w:rsidR="002C3598" w:rsidRDefault="002C3598" w:rsidP="002C3598">
      <w:pPr>
        <w:pStyle w:val="Normlntun"/>
        <w:rPr>
          <w:rStyle w:val="Zvraznenie"/>
          <w:i w:val="0"/>
          <w:iCs/>
        </w:rPr>
      </w:pPr>
      <w:r>
        <w:rPr>
          <w:rStyle w:val="Zvraznenie"/>
          <w:i w:val="0"/>
          <w:iCs/>
        </w:rPr>
        <w:t>Informačné technológie. Bezpečnostné metódy. Šifrovacie algoritmy. Časť 4: Prúdové šifry. Zmena AMD 1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24.05.2021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ISO/IEC 18033-4:2011/Amd 1: 2020</w:t>
      </w:r>
    </w:p>
    <w:p w:rsidR="002C3598" w:rsidRDefault="002C3598" w:rsidP="002C3598">
      <w:pPr>
        <w:rPr>
          <w:rStyle w:val="Obyejn"/>
        </w:rPr>
      </w:pPr>
      <w:r w:rsidRPr="00B82156">
        <w:rPr>
          <w:rStyle w:val="Siln"/>
        </w:rPr>
        <w:t>Spôsob prevzatia:</w:t>
      </w:r>
      <w:r w:rsidRPr="00B82156">
        <w:rPr>
          <w:rStyle w:val="Obyejn"/>
        </w:rPr>
        <w:t xml:space="preserve"> Prevzatie originálu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Táto časť ISO / IEC 18033 obsahuje algoritmy prúdovej šifry. Prúdová šifra je šifrovací mechanizmus, ktorý využíva kľúčový prúd na šifrovanie otvoreného textu bitovým alebo blokovým spôsobom. Existujú dva typy prúdových šifier: synchrónna prúdová šifra, v ktorej sa kľúčový tok generuje iba z tajného kľúča (a inicializačný vektor) a samosynchronizačná prúdová šifra, v ktorej sa kľúčový prúd generuje z tajného kľúča a niektoré minulé šifrové texty (a inicializačný vektor). Táto časť ISO / IEC 18033 popisuje generátory pseudonáhodných čísel na produkciu kľúčových tokov a výstupné funkcie na kombináciu kľúčového toku s otvoreným  textom. Táto časť ISO / IEC 18033 špecifikuje: a) výstupné funkcie na kombináciu kľúčového toku v otvorenom texte, b) generátory kľúčového toku na výrobu kľúčového toku a c) identifikátory objektov pridelené špecializovaným generátorom kľúčových prúdov v súlade s ISO / IEC 9834.</w:t>
      </w:r>
    </w:p>
    <w:p w:rsidR="002C3598" w:rsidRDefault="002C3598" w:rsidP="002C3598">
      <w:pPr>
        <w:pStyle w:val="Normlnkurzva"/>
        <w:rPr>
          <w:rStyle w:val="Zvraznenie"/>
          <w:i/>
          <w:iCs/>
        </w:rPr>
      </w:pPr>
      <w:r>
        <w:rPr>
          <w:rStyle w:val="Zvraznenie"/>
          <w:i/>
          <w:iCs/>
        </w:rPr>
        <w:t>Cenová skupina: 4</w:t>
      </w:r>
      <w:r>
        <w:rPr>
          <w:rStyle w:val="Zvraznenie"/>
          <w:i/>
          <w:iCs/>
        </w:rPr>
        <w:tab/>
        <w:t>Počet strán: 16</w:t>
      </w:r>
    </w:p>
    <w:p w:rsidR="002C3598" w:rsidRDefault="002C3598" w:rsidP="002C3598">
      <w:pPr>
        <w:rPr>
          <w:rStyle w:val="Zvraznenie"/>
          <w:i w:val="0"/>
          <w:iCs/>
        </w:rPr>
      </w:pPr>
    </w:p>
    <w:p w:rsidR="002C3598" w:rsidRDefault="002C3598" w:rsidP="002C3598">
      <w:pPr>
        <w:rPr>
          <w:rStyle w:val="Zvraznenie"/>
          <w:i w:val="0"/>
          <w:iCs/>
        </w:rPr>
      </w:pPr>
      <w:r>
        <w:rPr>
          <w:rStyle w:val="Zvraznenie"/>
          <w:i w:val="0"/>
          <w:iCs/>
        </w:rPr>
        <w:br w:type="page"/>
      </w:r>
    </w:p>
    <w:p w:rsidR="002C3598" w:rsidRDefault="002C3598" w:rsidP="002C3598">
      <w:pPr>
        <w:pStyle w:val="Nadpis1"/>
        <w:rPr>
          <w:rStyle w:val="Zvraznenie"/>
          <w:i w:val="0"/>
          <w:iCs/>
        </w:rPr>
      </w:pPr>
      <w:r>
        <w:rPr>
          <w:rStyle w:val="Zvraznenie"/>
          <w:i w:val="0"/>
          <w:iCs/>
        </w:rPr>
        <w:lastRenderedPageBreak/>
        <w:t>Opravy</w:t>
      </w:r>
    </w:p>
    <w:p w:rsidR="002C3598" w:rsidRDefault="002C3598" w:rsidP="002C3598">
      <w:pPr>
        <w:rPr>
          <w:rStyle w:val="Zvraznenie"/>
        </w:rPr>
      </w:pPr>
      <w:r w:rsidRPr="00B82156">
        <w:rPr>
          <w:rStyle w:val="Siln"/>
        </w:rPr>
        <w:t>STN EN 12514/AC</w:t>
      </w:r>
      <w:r w:rsidRPr="00B82156">
        <w:rPr>
          <w:rStyle w:val="Zvraznenie"/>
        </w:rPr>
        <w:t xml:space="preserve"> (07 5840)</w:t>
      </w:r>
    </w:p>
    <w:p w:rsidR="002C3598" w:rsidRDefault="002C3598" w:rsidP="002C3598">
      <w:pPr>
        <w:pStyle w:val="Normlntun"/>
        <w:rPr>
          <w:rStyle w:val="Zvraznenie"/>
          <w:i w:val="0"/>
          <w:iCs/>
        </w:rPr>
      </w:pPr>
      <w:r>
        <w:rPr>
          <w:rStyle w:val="Zvraznenie"/>
          <w:i w:val="0"/>
          <w:iCs/>
        </w:rPr>
        <w:t>Komponenty pre zásobovacie systémy jednotiek spaľujúcich kvapalné palivá. Oprava AC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02.03.2021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12514:2020/AC: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This European Standard specifies the safety and performance requirements and tests methods for the components for supply systems. Their intended use is the supply with liquid fuel for one or more consuming units from one or more tanks. This European Standard applies to pressurised, negative pressurised, unpressurised, underground, above ground, inside and/or outside systems to supply liquid fuels. The components for supply systems covered by this standard are piping kits/systems and their components. Not covered by this standard are items belonging to the consuming unit (e. g.: heating/cooling appliances in buildings) and items used for the mounting and support of components. Not covered by this standard are items with the intended use of gas for building heating/cooling systems and any items of heating networks.</w:t>
      </w:r>
    </w:p>
    <w:p w:rsidR="002C3598" w:rsidRDefault="002C3598" w:rsidP="002C3598">
      <w:pPr>
        <w:pStyle w:val="Normlnkurzva"/>
        <w:rPr>
          <w:rStyle w:val="Zvraznenie"/>
          <w:i/>
          <w:iCs/>
        </w:rPr>
      </w:pPr>
      <w:r>
        <w:rPr>
          <w:rStyle w:val="Zvraznenie"/>
          <w:i/>
          <w:iCs/>
        </w:rPr>
        <w:t>Cenová skupina: 0</w:t>
      </w:r>
      <w:r>
        <w:rPr>
          <w:rStyle w:val="Zvraznenie"/>
          <w:i/>
          <w:iCs/>
        </w:rPr>
        <w:tab/>
        <w:t>Počet strán: 4</w:t>
      </w:r>
    </w:p>
    <w:p w:rsidR="002C3598" w:rsidRDefault="002C3598" w:rsidP="002C3598">
      <w:pPr>
        <w:rPr>
          <w:rStyle w:val="Zvraznenie"/>
          <w:i w:val="0"/>
          <w:iCs/>
        </w:rPr>
      </w:pPr>
    </w:p>
    <w:p w:rsidR="002C3598" w:rsidRDefault="002C3598" w:rsidP="002C3598">
      <w:pPr>
        <w:rPr>
          <w:rStyle w:val="Zvraznenie"/>
        </w:rPr>
      </w:pPr>
      <w:r w:rsidRPr="00B82156">
        <w:rPr>
          <w:rStyle w:val="Siln"/>
        </w:rPr>
        <w:t>STN EN 15595/AC</w:t>
      </w:r>
      <w:r w:rsidRPr="00B82156">
        <w:rPr>
          <w:rStyle w:val="Zvraznenie"/>
        </w:rPr>
        <w:t xml:space="preserve"> (28 4020)</w:t>
      </w:r>
    </w:p>
    <w:p w:rsidR="002C3598" w:rsidRDefault="002C3598" w:rsidP="002C3598">
      <w:pPr>
        <w:pStyle w:val="Normlntun"/>
        <w:rPr>
          <w:rStyle w:val="Zvraznenie"/>
          <w:i w:val="0"/>
          <w:iCs/>
        </w:rPr>
      </w:pPr>
      <w:r>
        <w:rPr>
          <w:rStyle w:val="Zvraznenie"/>
          <w:i w:val="0"/>
          <w:iCs/>
        </w:rPr>
        <w:t>Železnice. Brzdenie. Protišmykové zariadenia. Oprava AC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12.05.2021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15595: 2018/AC: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This document specifies the criteria for system acceptance and type approval of a wheel slide protection (WSP) system. It also specifies criteria for the implementation of WSP to specific vehicle applications and specific operating conditions, as well as requirements for wheel rotation monitoring (WRM). This includes the design, testing and quality assessment of the WSP and WRM systems and their components. This European Standard does not apply to vehicles on rubber tyred wheels or vehicles equipped with hydraulic brakes.</w:t>
      </w:r>
    </w:p>
    <w:p w:rsidR="002C3598" w:rsidRDefault="002C3598" w:rsidP="002C3598">
      <w:pPr>
        <w:pStyle w:val="Normlnkurzva"/>
        <w:rPr>
          <w:rStyle w:val="Zvraznenie"/>
          <w:i/>
          <w:iCs/>
        </w:rPr>
      </w:pPr>
      <w:r>
        <w:rPr>
          <w:rStyle w:val="Zvraznenie"/>
          <w:i/>
          <w:iCs/>
        </w:rPr>
        <w:t>Cenová skupina: 0</w:t>
      </w:r>
      <w:r>
        <w:rPr>
          <w:rStyle w:val="Zvraznenie"/>
          <w:i/>
          <w:iCs/>
        </w:rPr>
        <w:tab/>
        <w:t>Počet strán: 4</w:t>
      </w:r>
    </w:p>
    <w:p w:rsidR="002C3598" w:rsidRDefault="002C3598" w:rsidP="002C3598">
      <w:pPr>
        <w:rPr>
          <w:rStyle w:val="Zvraznenie"/>
          <w:i w:val="0"/>
          <w:iCs/>
        </w:rPr>
      </w:pPr>
    </w:p>
    <w:p w:rsidR="002C3598" w:rsidRDefault="002C3598" w:rsidP="002C3598">
      <w:pPr>
        <w:rPr>
          <w:rStyle w:val="Zvraznenie"/>
        </w:rPr>
      </w:pPr>
      <w:r w:rsidRPr="00B82156">
        <w:rPr>
          <w:rStyle w:val="Siln"/>
        </w:rPr>
        <w:t>STN EN 50131-13/AC</w:t>
      </w:r>
      <w:r w:rsidRPr="00B82156">
        <w:rPr>
          <w:rStyle w:val="Zvraznenie"/>
        </w:rPr>
        <w:t xml:space="preserve"> (33 4591)</w:t>
      </w:r>
    </w:p>
    <w:p w:rsidR="002C3598" w:rsidRDefault="002C3598" w:rsidP="002C3598">
      <w:pPr>
        <w:pStyle w:val="Normlntun"/>
        <w:rPr>
          <w:rStyle w:val="Zvraznenie"/>
          <w:i w:val="0"/>
          <w:iCs/>
        </w:rPr>
      </w:pPr>
      <w:r>
        <w:rPr>
          <w:rStyle w:val="Zvraznenie"/>
          <w:i w:val="0"/>
          <w:iCs/>
        </w:rPr>
        <w:t>Poplachové systémy. Elektrické zabezpečovacie a tiesňové systémy. Časť 13: Bezpečnostné pyrotechnické ochranné zariadenia. Oprava AC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25.05.2021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50131-13:2020/AC Apr.: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lastRenderedPageBreak/>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This document specifies the requirements for pyrotechnic obscuration security devices as a part of an IAS. It covers application and performance and specifies the necessary tests and trials to ensure efficiency and reliability of such obscuration devices. This document is not intended to cover Hold-up alarm systems, standalone or vehicular security pyrotechnic obscuration security device. This document also gives guidelines on the criteria for design, installation, operation and maintenance of security pyrotechnic obscuration security device. NOTE This document does not deal with CE marking, chemical (REACH/CLP) or transport regulation requirements for pyrotechnical devices set forth in the relevant European regulation and harmonized standards issued for this purpose.</w:t>
      </w:r>
    </w:p>
    <w:p w:rsidR="002C3598" w:rsidRDefault="002C3598" w:rsidP="002C3598">
      <w:pPr>
        <w:pStyle w:val="Normlnkurzva"/>
        <w:rPr>
          <w:rStyle w:val="Zvraznenie"/>
          <w:i/>
          <w:iCs/>
        </w:rPr>
      </w:pPr>
      <w:r>
        <w:rPr>
          <w:rStyle w:val="Zvraznenie"/>
          <w:i/>
          <w:iCs/>
        </w:rPr>
        <w:t>Cenová skupina: 0</w:t>
      </w:r>
      <w:r>
        <w:rPr>
          <w:rStyle w:val="Zvraznenie"/>
          <w:i/>
          <w:iCs/>
        </w:rPr>
        <w:tab/>
        <w:t>Počet strán: 2</w:t>
      </w:r>
    </w:p>
    <w:p w:rsidR="002C3598" w:rsidRDefault="002C3598" w:rsidP="002C3598">
      <w:pPr>
        <w:rPr>
          <w:rStyle w:val="Zvraznenie"/>
          <w:i w:val="0"/>
          <w:iCs/>
        </w:rPr>
      </w:pPr>
    </w:p>
    <w:p w:rsidR="002C3598" w:rsidRDefault="002C3598" w:rsidP="002C3598">
      <w:pPr>
        <w:rPr>
          <w:rStyle w:val="Zvraznenie"/>
        </w:rPr>
      </w:pPr>
      <w:r w:rsidRPr="00B82156">
        <w:rPr>
          <w:rStyle w:val="Siln"/>
        </w:rPr>
        <w:t>STN EN IEC 60947-4-1/AC2</w:t>
      </w:r>
      <w:r w:rsidRPr="00B82156">
        <w:rPr>
          <w:rStyle w:val="Zvraznenie"/>
        </w:rPr>
        <w:t xml:space="preserve"> (35 4101)</w:t>
      </w:r>
    </w:p>
    <w:p w:rsidR="002C3598" w:rsidRDefault="002C3598" w:rsidP="002C3598">
      <w:pPr>
        <w:pStyle w:val="Normlntun"/>
        <w:rPr>
          <w:rStyle w:val="Zvraznenie"/>
          <w:i w:val="0"/>
          <w:iCs/>
        </w:rPr>
      </w:pPr>
      <w:r>
        <w:rPr>
          <w:rStyle w:val="Zvraznenie"/>
          <w:i w:val="0"/>
          <w:iCs/>
        </w:rPr>
        <w:t>Nízkonapäťové spínacie a riadiace zariadenia. Časť 4-1: Stýkače a spúšťače motorov. Elektromechanické stýkače a spúšťače motorov. Oprava AC2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20.05.2021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IEC 60947-4-1:2019/AC Apr.: 2021, idt. IEC 60947-4-1:2018/Cor. 2: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IEC 60947-4-1:2018 is applicable to the following equipment: - electromechanical contactors and starters including motor protective switching device (MPSD); - actuators of contactor relays; - contacts dedicated exclusively to the coil circuit of this contactor or this contactor relay; - dedicated accessories (e.g. dedicated wiring, dedicated latch accessory); intended to be connected to distribution circuits, motors circuits and other load circuits, the rated voltage of which does not exceed 1 000 V AC or 1 500 V DC. This fourth edition cancels and replaces the third edition published in 2009 and its Amendment 1:2012. This edition constitutes a technical revision.</w:t>
      </w:r>
    </w:p>
    <w:p w:rsidR="002C3598" w:rsidRDefault="002C3598" w:rsidP="002C3598">
      <w:pPr>
        <w:pStyle w:val="Normlnkurzva"/>
        <w:rPr>
          <w:rStyle w:val="Zvraznenie"/>
          <w:i/>
          <w:iCs/>
        </w:rPr>
      </w:pPr>
      <w:r>
        <w:rPr>
          <w:rStyle w:val="Zvraznenie"/>
          <w:i/>
          <w:iCs/>
        </w:rPr>
        <w:t>Cenová skupina: 0</w:t>
      </w:r>
      <w:r>
        <w:rPr>
          <w:rStyle w:val="Zvraznenie"/>
          <w:i/>
          <w:iCs/>
        </w:rPr>
        <w:tab/>
        <w:t>Počet strán: 4</w:t>
      </w:r>
    </w:p>
    <w:p w:rsidR="002C3598" w:rsidRDefault="002C3598" w:rsidP="002C3598">
      <w:pPr>
        <w:rPr>
          <w:rStyle w:val="Zvraznenie"/>
          <w:i w:val="0"/>
          <w:iCs/>
        </w:rPr>
      </w:pPr>
    </w:p>
    <w:p w:rsidR="002C3598" w:rsidRDefault="002C3598" w:rsidP="002C3598">
      <w:pPr>
        <w:rPr>
          <w:rStyle w:val="Zvraznenie"/>
        </w:rPr>
      </w:pPr>
      <w:r w:rsidRPr="00B82156">
        <w:rPr>
          <w:rStyle w:val="Siln"/>
        </w:rPr>
        <w:t>STN EN IEC 62149-3/AC</w:t>
      </w:r>
      <w:r w:rsidRPr="00B82156">
        <w:rPr>
          <w:rStyle w:val="Zvraznenie"/>
        </w:rPr>
        <w:t xml:space="preserve"> (35 9255)</w:t>
      </w:r>
    </w:p>
    <w:p w:rsidR="002C3598" w:rsidRDefault="002C3598" w:rsidP="002C3598">
      <w:pPr>
        <w:pStyle w:val="Normlntun"/>
        <w:rPr>
          <w:rStyle w:val="Zvraznenie"/>
          <w:i w:val="0"/>
          <w:iCs/>
        </w:rPr>
      </w:pPr>
      <w:r>
        <w:rPr>
          <w:rStyle w:val="Zvraznenie"/>
          <w:i w:val="0"/>
          <w:iCs/>
        </w:rPr>
        <w:t>Optovláknové aktívne súčiastky a prvky. Norma na prevádzkové charakteristiky. Časť 3: Vysielače s laserovými diódami a integrovanými modulátormi pre optické prenosové systémy 40 Gbit/s. Oprava AC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20.05.2021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IEC 62149-3:2020/AC Mar.: 2021, idt. IEC 62149-3:2020/COR1: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IEC 62149-3:2014 covers the performance specification for optical modulators monolithically integrated with laser diodes for 2,5 Gbit/s to 40 Gbit/s multi-channel fibre optic transmission systems. This performance standard contains a definition of the product performance requirements together with a series of sets of tests and measurements </w:t>
      </w:r>
      <w:r w:rsidRPr="00B82156">
        <w:rPr>
          <w:rStyle w:val="Obyejn"/>
        </w:rPr>
        <w:lastRenderedPageBreak/>
        <w:t>with clearly defined conditions, severities and pass/fail criteria. The tests are intended to be run as an initial design verification to prove any product's ability to satisfy the performance standard's requirements. This standard is only applicable for on-off keying format. This second edition cancels and replaces the first edition published in 2004 and constitutes a technical revision.</w:t>
      </w:r>
    </w:p>
    <w:p w:rsidR="002C3598" w:rsidRDefault="002C3598" w:rsidP="002C3598">
      <w:pPr>
        <w:pStyle w:val="Normlnkurzva"/>
        <w:rPr>
          <w:rStyle w:val="Zvraznenie"/>
          <w:i/>
          <w:iCs/>
        </w:rPr>
      </w:pPr>
      <w:r>
        <w:rPr>
          <w:rStyle w:val="Zvraznenie"/>
          <w:i/>
          <w:iCs/>
        </w:rPr>
        <w:t>Cenová skupina: 0</w:t>
      </w:r>
      <w:r>
        <w:rPr>
          <w:rStyle w:val="Zvraznenie"/>
          <w:i/>
          <w:iCs/>
        </w:rPr>
        <w:tab/>
        <w:t>Počet strán: 8</w:t>
      </w:r>
    </w:p>
    <w:p w:rsidR="002C3598" w:rsidRDefault="002C3598" w:rsidP="002C3598">
      <w:pPr>
        <w:rPr>
          <w:rStyle w:val="Zvraznenie"/>
          <w:i w:val="0"/>
          <w:iCs/>
        </w:rPr>
      </w:pPr>
    </w:p>
    <w:p w:rsidR="002C3598" w:rsidRDefault="002C3598" w:rsidP="002C3598">
      <w:pPr>
        <w:rPr>
          <w:rStyle w:val="Zvraznenie"/>
        </w:rPr>
      </w:pPr>
      <w:r w:rsidRPr="00B82156">
        <w:rPr>
          <w:rStyle w:val="Siln"/>
        </w:rPr>
        <w:t>STN EN IEC 63136/AC</w:t>
      </w:r>
      <w:r w:rsidRPr="00B82156">
        <w:rPr>
          <w:rStyle w:val="Zvraznenie"/>
        </w:rPr>
        <w:t xml:space="preserve"> (36 1060)</w:t>
      </w:r>
    </w:p>
    <w:p w:rsidR="002C3598" w:rsidRDefault="002C3598" w:rsidP="002C3598">
      <w:pPr>
        <w:pStyle w:val="Normlntun"/>
        <w:rPr>
          <w:rStyle w:val="Zvraznenie"/>
          <w:i w:val="0"/>
          <w:iCs/>
        </w:rPr>
      </w:pPr>
      <w:r>
        <w:rPr>
          <w:rStyle w:val="Zvraznenie"/>
          <w:i w:val="0"/>
          <w:iCs/>
        </w:rPr>
        <w:t>Elektrické umývačky riadu na komerčné použitie. Metódy merania funkčných vlastností. Oprava AC ****)</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07.05.2021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idt. EN IEC 63136: 2019/AC Apr.: 2021, idt. IEC 63136:2019/Cor. 1: 2021</w:t>
      </w:r>
    </w:p>
    <w:p w:rsidR="002C3598" w:rsidRDefault="002C3598" w:rsidP="002C3598">
      <w:pPr>
        <w:rPr>
          <w:rStyle w:val="Obyejn"/>
        </w:rPr>
      </w:pPr>
      <w:r w:rsidRPr="00B82156">
        <w:rPr>
          <w:rStyle w:val="Siln"/>
        </w:rPr>
        <w:t>Spôsob prevzatia:</w:t>
      </w:r>
      <w:r w:rsidRPr="00B82156">
        <w:rPr>
          <w:rStyle w:val="Obyejn"/>
        </w:rPr>
        <w:t xml:space="preserve"> Prevzatie oznámením vo Vestníku</w:t>
      </w:r>
      <w:r w:rsidRPr="00B82156">
        <w:rPr>
          <w:rStyle w:val="Obyejn"/>
        </w:rPr>
        <w:tab/>
      </w:r>
      <w:r w:rsidRPr="00B82156">
        <w:rPr>
          <w:rStyle w:val="Siln"/>
        </w:rPr>
        <w:t>Jazyk:</w:t>
      </w:r>
      <w:r w:rsidRPr="00B82156">
        <w:rPr>
          <w:rStyle w:val="Obyejn"/>
        </w:rPr>
        <w:t xml:space="preserve"> en</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w:t>
      </w:r>
    </w:p>
    <w:p w:rsidR="002C3598" w:rsidRDefault="002C3598" w:rsidP="002C3598">
      <w:pPr>
        <w:rPr>
          <w:rStyle w:val="Obyejn"/>
        </w:rPr>
      </w:pPr>
      <w:r w:rsidRPr="00B82156">
        <w:rPr>
          <w:rStyle w:val="Siln"/>
        </w:rPr>
        <w:t>Predmet normy:</w:t>
      </w:r>
      <w:r w:rsidRPr="00B82156">
        <w:rPr>
          <w:rStyle w:val="Obyejn"/>
        </w:rPr>
        <w:t xml:space="preserve"> IEC 63136:2019 applies to manually loaded under-counter one-tank and one-tank hood-type electrically heated dishwashing machines for washing plates, dishes, glassware, cutlery and similar articles.These machines are used in commercial kitchens, such as restaurants, canteens, hospitals and in businesses such as bakeries, butchers' shops, etc.This document does not apply to commercial dishwashers with transport systems (flight-type and rack conveyor dishwashers) and utensil washers.This document does not apply to undercounter water-change dishwashers.</w:t>
      </w:r>
    </w:p>
    <w:p w:rsidR="002C3598" w:rsidRDefault="002C3598" w:rsidP="002C3598">
      <w:pPr>
        <w:pStyle w:val="Normlnkurzva"/>
        <w:rPr>
          <w:rStyle w:val="Zvraznenie"/>
          <w:i/>
          <w:iCs/>
        </w:rPr>
      </w:pPr>
      <w:r>
        <w:rPr>
          <w:rStyle w:val="Zvraznenie"/>
          <w:i/>
          <w:iCs/>
        </w:rPr>
        <w:t>Cenová skupina: 0</w:t>
      </w:r>
      <w:r>
        <w:rPr>
          <w:rStyle w:val="Zvraznenie"/>
          <w:i/>
          <w:iCs/>
        </w:rPr>
        <w:tab/>
        <w:t>Počet strán: 4</w:t>
      </w:r>
    </w:p>
    <w:p w:rsidR="002C3598" w:rsidRDefault="002C3598" w:rsidP="002C3598">
      <w:pPr>
        <w:rPr>
          <w:rStyle w:val="Zvraznenie"/>
          <w:i w:val="0"/>
          <w:iCs/>
        </w:rPr>
      </w:pPr>
    </w:p>
    <w:p w:rsidR="002C3598" w:rsidRDefault="002C3598" w:rsidP="002C3598">
      <w:pPr>
        <w:rPr>
          <w:rStyle w:val="Zvraznenie"/>
        </w:rPr>
      </w:pPr>
      <w:r w:rsidRPr="00B82156">
        <w:rPr>
          <w:rStyle w:val="Siln"/>
        </w:rPr>
        <w:t>STN EN 12477/A1/O1</w:t>
      </w:r>
      <w:r w:rsidRPr="00B82156">
        <w:rPr>
          <w:rStyle w:val="Zvraznenie"/>
        </w:rPr>
        <w:t xml:space="preserve"> (83 2331)</w:t>
      </w:r>
    </w:p>
    <w:p w:rsidR="002C3598" w:rsidRDefault="002C3598" w:rsidP="002C3598">
      <w:pPr>
        <w:pStyle w:val="Normlntun"/>
        <w:rPr>
          <w:rStyle w:val="Zvraznenie"/>
          <w:i w:val="0"/>
          <w:iCs/>
        </w:rPr>
      </w:pPr>
      <w:r>
        <w:rPr>
          <w:rStyle w:val="Zvraznenie"/>
          <w:i w:val="0"/>
          <w:iCs/>
        </w:rPr>
        <w:t>Ochranné rukavice pre zváračov. Oprava A1/O1</w:t>
      </w:r>
    </w:p>
    <w:p w:rsidR="002C3598" w:rsidRDefault="002C3598" w:rsidP="002C3598">
      <w:pPr>
        <w:rPr>
          <w:rStyle w:val="Obyejn"/>
        </w:rPr>
      </w:pPr>
      <w:r w:rsidRPr="00B82156">
        <w:rPr>
          <w:rStyle w:val="Siln"/>
        </w:rPr>
        <w:t>Dátum vydania:</w:t>
      </w:r>
      <w:r w:rsidRPr="00B82156">
        <w:rPr>
          <w:rStyle w:val="Obyejn"/>
        </w:rPr>
        <w:t xml:space="preserve"> 01.08.2021</w:t>
      </w:r>
      <w:r w:rsidRPr="00B82156">
        <w:rPr>
          <w:rStyle w:val="Obyejn"/>
        </w:rPr>
        <w:tab/>
      </w:r>
      <w:r w:rsidRPr="00B82156">
        <w:rPr>
          <w:rStyle w:val="Obyejn"/>
        </w:rPr>
        <w:tab/>
      </w:r>
      <w:r w:rsidRPr="00B82156">
        <w:rPr>
          <w:rStyle w:val="Siln"/>
        </w:rPr>
        <w:t>Dátum zrušenia:</w:t>
      </w:r>
      <w:r w:rsidRPr="00B82156">
        <w:rPr>
          <w:rStyle w:val="Obyejn"/>
        </w:rPr>
        <w:t xml:space="preserve"> </w:t>
      </w:r>
    </w:p>
    <w:p w:rsidR="002C3598" w:rsidRDefault="002C3598" w:rsidP="002C3598">
      <w:pPr>
        <w:rPr>
          <w:rStyle w:val="Obyejn"/>
        </w:rPr>
      </w:pPr>
      <w:r w:rsidRPr="00B82156">
        <w:rPr>
          <w:rStyle w:val="Siln"/>
        </w:rPr>
        <w:t>Dátum schválenia:</w:t>
      </w:r>
      <w:r w:rsidRPr="00B82156">
        <w:rPr>
          <w:rStyle w:val="Obyejn"/>
        </w:rPr>
        <w:t xml:space="preserve"> 27.05.2021</w:t>
      </w:r>
      <w:r w:rsidRPr="00B82156">
        <w:rPr>
          <w:rStyle w:val="Obyejn"/>
        </w:rPr>
        <w:tab/>
      </w:r>
      <w:r w:rsidRPr="00B82156">
        <w:rPr>
          <w:rStyle w:val="Siln"/>
        </w:rPr>
        <w:t>Dátum účinnosti:</w:t>
      </w:r>
      <w:r w:rsidRPr="00B82156">
        <w:rPr>
          <w:rStyle w:val="Obyejn"/>
        </w:rPr>
        <w:t xml:space="preserve"> </w:t>
      </w:r>
    </w:p>
    <w:p w:rsidR="002C3598" w:rsidRDefault="002C3598" w:rsidP="002C3598">
      <w:pPr>
        <w:rPr>
          <w:rStyle w:val="Obyejn"/>
        </w:rPr>
      </w:pPr>
      <w:r w:rsidRPr="00B82156">
        <w:rPr>
          <w:rStyle w:val="Siln"/>
        </w:rPr>
        <w:t>Úroveň zapracovania:</w:t>
      </w:r>
      <w:r w:rsidRPr="00B82156">
        <w:rPr>
          <w:rStyle w:val="Obyejn"/>
        </w:rPr>
        <w:t xml:space="preserve"> </w:t>
      </w:r>
    </w:p>
    <w:p w:rsidR="002C3598" w:rsidRDefault="002C3598" w:rsidP="002C3598">
      <w:pPr>
        <w:rPr>
          <w:rStyle w:val="Obyejn"/>
        </w:rPr>
      </w:pPr>
      <w:r w:rsidRPr="00B82156">
        <w:rPr>
          <w:rStyle w:val="Siln"/>
        </w:rPr>
        <w:t>Spôsob prevzatia:</w:t>
      </w:r>
      <w:r w:rsidRPr="00B82156">
        <w:rPr>
          <w:rStyle w:val="Obyejn"/>
        </w:rPr>
        <w:t xml:space="preserve"> Čistá STN</w:t>
      </w:r>
      <w:r w:rsidRPr="00B82156">
        <w:rPr>
          <w:rStyle w:val="Obyejn"/>
        </w:rPr>
        <w:tab/>
      </w:r>
      <w:r w:rsidRPr="00B82156">
        <w:rPr>
          <w:rStyle w:val="Siln"/>
        </w:rPr>
        <w:t>Jazyk:</w:t>
      </w:r>
      <w:r w:rsidRPr="00B82156">
        <w:rPr>
          <w:rStyle w:val="Obyejn"/>
        </w:rPr>
        <w:t xml:space="preserve"> sk</w:t>
      </w:r>
    </w:p>
    <w:p w:rsidR="002C3598" w:rsidRDefault="002C3598" w:rsidP="002C3598">
      <w:pPr>
        <w:rPr>
          <w:rStyle w:val="Obyejn"/>
        </w:rPr>
      </w:pPr>
      <w:r w:rsidRPr="00B82156">
        <w:rPr>
          <w:rStyle w:val="Siln"/>
        </w:rPr>
        <w:t>Nahradené normy:</w:t>
      </w:r>
      <w:r w:rsidRPr="00B82156">
        <w:rPr>
          <w:rStyle w:val="Obyejn"/>
        </w:rPr>
        <w:t xml:space="preserve"> </w:t>
      </w:r>
    </w:p>
    <w:p w:rsidR="002C3598" w:rsidRDefault="002C3598" w:rsidP="002C3598">
      <w:pPr>
        <w:rPr>
          <w:rStyle w:val="Obyejn"/>
        </w:rPr>
      </w:pPr>
      <w:r w:rsidRPr="00B82156">
        <w:rPr>
          <w:rStyle w:val="Siln"/>
        </w:rPr>
        <w:t>Čiastočne nahradené normy:</w:t>
      </w:r>
      <w:r w:rsidRPr="00B82156">
        <w:rPr>
          <w:rStyle w:val="Obyejn"/>
        </w:rPr>
        <w:t xml:space="preserve"> </w:t>
      </w:r>
    </w:p>
    <w:p w:rsidR="002C3598" w:rsidRDefault="002C3598" w:rsidP="002C3598">
      <w:pPr>
        <w:rPr>
          <w:rStyle w:val="Obyejn"/>
        </w:rPr>
      </w:pPr>
      <w:r w:rsidRPr="00B82156">
        <w:rPr>
          <w:rStyle w:val="Siln"/>
        </w:rPr>
        <w:t>Právne predpisy:</w:t>
      </w:r>
      <w:r w:rsidRPr="00B82156">
        <w:rPr>
          <w:rStyle w:val="Obyejn"/>
        </w:rPr>
        <w:t xml:space="preserve"> ^ASmernica 89/686/EHS z 21.12.89 (OJL 399, 30.12.89)^Bo osobných ochranných prostriedkoch, zmenená smernicou 93/95/EHS z 29.10.93 (OJL 276, 09. 11.93) a smernicou 93/95/EHS z 22.7.1993 (OJL 220, 30.8.1993)^Bo označení CE~^Anariadenie vlády SR č.29/01 Z.z.^Bktorým sa ustanovujú podrobnosti o techn. požiadavkách a postupoch posudzovania zhody na osobné ochranné prostriedky~^ANV SR 504/2002 Z.z.^Bo poskytovaní osobných ochranných prostriedkov.</w:t>
      </w:r>
    </w:p>
    <w:p w:rsidR="002C3598" w:rsidRDefault="002C3598" w:rsidP="002C3598">
      <w:pPr>
        <w:rPr>
          <w:rStyle w:val="Obyejn"/>
        </w:rPr>
      </w:pPr>
      <w:r w:rsidRPr="00B82156">
        <w:rPr>
          <w:rStyle w:val="Siln"/>
        </w:rPr>
        <w:t>Predmet normy:</w:t>
      </w:r>
      <w:r w:rsidRPr="00B82156">
        <w:rPr>
          <w:rStyle w:val="Obyejn"/>
        </w:rPr>
        <w:t xml:space="preserve"> Táto európska norma stanovuje požiadavky a skúšobné metódy na ochranné rukavice určené na používanie pri ručnom zváraní kovov, rezaní a pod. Ochranné rukavice pre zváračov chránia ruky a zápästia pri zváraní a podobných prácach.Ochranné rukavice pre zváračov chránia proti malým rozstrekom roztaveného kovu, proti krátkemu vystaveniu účinku ohraničeného plameňa, proti konvekčnému teplu, proti kontaktnému teplu a proti pôsobeniu UV žiarenia z elektrického oblúka. Okrem toho chránia proti nepriaznivým mechanickým vplyvom. Materiál rukavíc poskytuje pre zváranie elektrickým oblúkom minimálny elektrický odpor do 100 V. Ochranné rukavice pre zváračov sa podľa funkčných charakteristík triedia na 2 typy: typ A: s nižšou úchopovou schopnosťou, s vyššími funkčnými </w:t>
      </w:r>
      <w:r w:rsidRPr="00B82156">
        <w:rPr>
          <w:rStyle w:val="Obyejn"/>
        </w:rPr>
        <w:lastRenderedPageBreak/>
        <w:t>charakteristikami; typ B: s vyššou úchopovou schopnosťou, s nižšími funkčnými charakteristikami. Ochranné rukavice na špeciálne zváracie postupy nie sú predmetom tejto normy.</w:t>
      </w:r>
    </w:p>
    <w:p w:rsidR="002C3598" w:rsidRDefault="002C3598" w:rsidP="002C3598">
      <w:pPr>
        <w:pStyle w:val="Normlnkurzva"/>
        <w:rPr>
          <w:rStyle w:val="Zvraznenie"/>
          <w:i/>
          <w:iCs/>
        </w:rPr>
      </w:pPr>
      <w:r>
        <w:rPr>
          <w:rStyle w:val="Zvraznenie"/>
          <w:i/>
          <w:iCs/>
        </w:rPr>
        <w:t>Cenová skupina: 0</w:t>
      </w:r>
      <w:r>
        <w:rPr>
          <w:rStyle w:val="Zvraznenie"/>
          <w:i/>
          <w:iCs/>
        </w:rPr>
        <w:tab/>
        <w:t>Počet strán: 2</w:t>
      </w:r>
    </w:p>
    <w:p w:rsidR="002C3598" w:rsidRDefault="002C3598" w:rsidP="002C3598">
      <w:pPr>
        <w:rPr>
          <w:rStyle w:val="Zvraznenie"/>
          <w:i w:val="0"/>
          <w:iCs/>
        </w:rPr>
      </w:pPr>
    </w:p>
    <w:p w:rsidR="00300D8C" w:rsidRDefault="00300D8C">
      <w:bookmarkStart w:id="0" w:name="_GoBack"/>
      <w:bookmarkEnd w:id="0"/>
    </w:p>
    <w:sectPr w:rsidR="00300D8C">
      <w:footerReference w:type="default" r:id="rId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16668"/>
      <w:docPartObj>
        <w:docPartGallery w:val="Page Numbers (Bottom of Page)"/>
        <w:docPartUnique/>
      </w:docPartObj>
    </w:sdtPr>
    <w:sdtEndPr/>
    <w:sdtContent>
      <w:p w:rsidR="00B4730E" w:rsidRDefault="002C3598">
        <w:pPr>
          <w:pStyle w:val="Pta"/>
          <w:jc w:val="right"/>
        </w:pPr>
        <w:r>
          <w:fldChar w:fldCharType="begin"/>
        </w:r>
        <w:r>
          <w:instrText>PAGE   \* MERGEFORMAT</w:instrText>
        </w:r>
        <w:r>
          <w:fldChar w:fldCharType="separate"/>
        </w:r>
        <w:r w:rsidRPr="002C3598">
          <w:rPr>
            <w:noProof/>
            <w:lang w:val="sk-SK"/>
          </w:rPr>
          <w:t>2</w:t>
        </w:r>
        <w:r>
          <w:fldChar w:fldCharType="end"/>
        </w:r>
      </w:p>
    </w:sdtContent>
  </w:sdt>
  <w:p w:rsidR="00B4730E" w:rsidRDefault="002C3598">
    <w:pPr>
      <w:pStyle w:val="Pt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98"/>
    <w:rsid w:val="002C3598"/>
    <w:rsid w:val="00300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í"/>
    <w:qFormat/>
    <w:rsid w:val="002C3598"/>
    <w:rPr>
      <w:rFonts w:ascii="Times New Roman" w:eastAsia="Times New Roman" w:hAnsi="Times New Roman" w:cs="Times New Roman"/>
      <w:sz w:val="24"/>
      <w:szCs w:val="20"/>
      <w:lang w:val="cs-CZ" w:eastAsia="cs-CZ"/>
    </w:rPr>
  </w:style>
  <w:style w:type="paragraph" w:styleId="Nadpis1">
    <w:name w:val="heading 1"/>
    <w:basedOn w:val="Normlny"/>
    <w:next w:val="Normlny"/>
    <w:link w:val="Nadpis1Char"/>
    <w:qFormat/>
    <w:rsid w:val="002C3598"/>
    <w:pPr>
      <w:keepNext/>
      <w:spacing w:after="240"/>
      <w:jc w:val="center"/>
      <w:outlineLvl w:val="0"/>
    </w:pPr>
    <w:rPr>
      <w:b/>
      <w:kern w:val="28"/>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C3598"/>
    <w:rPr>
      <w:rFonts w:ascii="Times New Roman" w:eastAsia="Times New Roman" w:hAnsi="Times New Roman" w:cs="Times New Roman"/>
      <w:b/>
      <w:kern w:val="28"/>
      <w:sz w:val="28"/>
      <w:szCs w:val="20"/>
      <w:lang w:val="cs-CZ" w:eastAsia="cs-CZ"/>
    </w:rPr>
  </w:style>
  <w:style w:type="paragraph" w:customStyle="1" w:styleId="Normlntun">
    <w:name w:val="Normální tučný"/>
    <w:basedOn w:val="Normlny"/>
    <w:next w:val="Normlny"/>
    <w:autoRedefine/>
    <w:rsid w:val="002C3598"/>
    <w:rPr>
      <w:b/>
    </w:rPr>
  </w:style>
  <w:style w:type="paragraph" w:customStyle="1" w:styleId="Normlnkurzva">
    <w:name w:val="Normální kurzíva"/>
    <w:basedOn w:val="Normlny"/>
    <w:next w:val="Normlny"/>
    <w:autoRedefine/>
    <w:rsid w:val="002C3598"/>
    <w:rPr>
      <w:i/>
    </w:rPr>
  </w:style>
  <w:style w:type="character" w:styleId="Siln">
    <w:name w:val="Strong"/>
    <w:aliases w:val="Silné"/>
    <w:basedOn w:val="Predvolenpsmoodseku"/>
    <w:qFormat/>
    <w:rsid w:val="002C3598"/>
    <w:rPr>
      <w:b/>
    </w:rPr>
  </w:style>
  <w:style w:type="character" w:styleId="Zvraznenie">
    <w:name w:val="Emphasis"/>
    <w:aliases w:val="Zvýraznění"/>
    <w:basedOn w:val="Predvolenpsmoodseku"/>
    <w:qFormat/>
    <w:rsid w:val="002C3598"/>
    <w:rPr>
      <w:i/>
    </w:rPr>
  </w:style>
  <w:style w:type="character" w:customStyle="1" w:styleId="Obyejn">
    <w:name w:val="Obyčejný"/>
    <w:basedOn w:val="Predvolenpsmoodseku"/>
    <w:rsid w:val="002C3598"/>
    <w:rPr>
      <w:rFonts w:ascii="Times New Roman" w:hAnsi="Times New Roman"/>
      <w:sz w:val="24"/>
    </w:rPr>
  </w:style>
  <w:style w:type="paragraph" w:styleId="Pta">
    <w:name w:val="footer"/>
    <w:aliases w:val="Zápatí"/>
    <w:basedOn w:val="Normlny"/>
    <w:link w:val="PtaChar"/>
    <w:uiPriority w:val="99"/>
    <w:rsid w:val="002C3598"/>
    <w:pPr>
      <w:tabs>
        <w:tab w:val="center" w:pos="4536"/>
        <w:tab w:val="right" w:pos="9072"/>
      </w:tabs>
    </w:pPr>
    <w:rPr>
      <w:sz w:val="20"/>
    </w:rPr>
  </w:style>
  <w:style w:type="character" w:customStyle="1" w:styleId="PtaChar">
    <w:name w:val="Päta Char"/>
    <w:basedOn w:val="Predvolenpsmoodseku"/>
    <w:link w:val="Pta"/>
    <w:uiPriority w:val="99"/>
    <w:rsid w:val="002C3598"/>
    <w:rPr>
      <w:rFonts w:ascii="Times New Roman" w:eastAsia="Times New Roman" w:hAnsi="Times New Roman" w:cs="Times New Roman"/>
      <w:sz w:val="2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í"/>
    <w:qFormat/>
    <w:rsid w:val="002C3598"/>
    <w:rPr>
      <w:rFonts w:ascii="Times New Roman" w:eastAsia="Times New Roman" w:hAnsi="Times New Roman" w:cs="Times New Roman"/>
      <w:sz w:val="24"/>
      <w:szCs w:val="20"/>
      <w:lang w:val="cs-CZ" w:eastAsia="cs-CZ"/>
    </w:rPr>
  </w:style>
  <w:style w:type="paragraph" w:styleId="Nadpis1">
    <w:name w:val="heading 1"/>
    <w:basedOn w:val="Normlny"/>
    <w:next w:val="Normlny"/>
    <w:link w:val="Nadpis1Char"/>
    <w:qFormat/>
    <w:rsid w:val="002C3598"/>
    <w:pPr>
      <w:keepNext/>
      <w:spacing w:after="240"/>
      <w:jc w:val="center"/>
      <w:outlineLvl w:val="0"/>
    </w:pPr>
    <w:rPr>
      <w:b/>
      <w:kern w:val="28"/>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C3598"/>
    <w:rPr>
      <w:rFonts w:ascii="Times New Roman" w:eastAsia="Times New Roman" w:hAnsi="Times New Roman" w:cs="Times New Roman"/>
      <w:b/>
      <w:kern w:val="28"/>
      <w:sz w:val="28"/>
      <w:szCs w:val="20"/>
      <w:lang w:val="cs-CZ" w:eastAsia="cs-CZ"/>
    </w:rPr>
  </w:style>
  <w:style w:type="paragraph" w:customStyle="1" w:styleId="Normlntun">
    <w:name w:val="Normální tučný"/>
    <w:basedOn w:val="Normlny"/>
    <w:next w:val="Normlny"/>
    <w:autoRedefine/>
    <w:rsid w:val="002C3598"/>
    <w:rPr>
      <w:b/>
    </w:rPr>
  </w:style>
  <w:style w:type="paragraph" w:customStyle="1" w:styleId="Normlnkurzva">
    <w:name w:val="Normální kurzíva"/>
    <w:basedOn w:val="Normlny"/>
    <w:next w:val="Normlny"/>
    <w:autoRedefine/>
    <w:rsid w:val="002C3598"/>
    <w:rPr>
      <w:i/>
    </w:rPr>
  </w:style>
  <w:style w:type="character" w:styleId="Siln">
    <w:name w:val="Strong"/>
    <w:aliases w:val="Silné"/>
    <w:basedOn w:val="Predvolenpsmoodseku"/>
    <w:qFormat/>
    <w:rsid w:val="002C3598"/>
    <w:rPr>
      <w:b/>
    </w:rPr>
  </w:style>
  <w:style w:type="character" w:styleId="Zvraznenie">
    <w:name w:val="Emphasis"/>
    <w:aliases w:val="Zvýraznění"/>
    <w:basedOn w:val="Predvolenpsmoodseku"/>
    <w:qFormat/>
    <w:rsid w:val="002C3598"/>
    <w:rPr>
      <w:i/>
    </w:rPr>
  </w:style>
  <w:style w:type="character" w:customStyle="1" w:styleId="Obyejn">
    <w:name w:val="Obyčejný"/>
    <w:basedOn w:val="Predvolenpsmoodseku"/>
    <w:rsid w:val="002C3598"/>
    <w:rPr>
      <w:rFonts w:ascii="Times New Roman" w:hAnsi="Times New Roman"/>
      <w:sz w:val="24"/>
    </w:rPr>
  </w:style>
  <w:style w:type="paragraph" w:styleId="Pta">
    <w:name w:val="footer"/>
    <w:aliases w:val="Zápatí"/>
    <w:basedOn w:val="Normlny"/>
    <w:link w:val="PtaChar"/>
    <w:uiPriority w:val="99"/>
    <w:rsid w:val="002C3598"/>
    <w:pPr>
      <w:tabs>
        <w:tab w:val="center" w:pos="4536"/>
        <w:tab w:val="right" w:pos="9072"/>
      </w:tabs>
    </w:pPr>
    <w:rPr>
      <w:sz w:val="20"/>
    </w:rPr>
  </w:style>
  <w:style w:type="character" w:customStyle="1" w:styleId="PtaChar">
    <w:name w:val="Päta Char"/>
    <w:basedOn w:val="Predvolenpsmoodseku"/>
    <w:link w:val="Pta"/>
    <w:uiPriority w:val="99"/>
    <w:rsid w:val="002C3598"/>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5725</Words>
  <Characters>32636</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Úrad pre normalizáciu, metrológiu a skúšobníctvo SR</Company>
  <LinksUpToDate>false</LinksUpToDate>
  <CharactersWithSpaces>38285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Garajová Jana</dc:creator>
  <cp:lastModifiedBy>Garajová Jana</cp:lastModifiedBy>
  <cp:revision>1</cp:revision>
  <dcterms:created xsi:type="dcterms:W3CDTF">2021-08-02T07:51:00Z</dcterms:created>
  <dcterms:modified xsi:type="dcterms:W3CDTF">2021-08-02T07:52:00Z</dcterms:modified>
</cp:coreProperties>
</file>